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13BF" w14:textId="77777777" w:rsidR="007D671A" w:rsidRPr="00FB742A" w:rsidRDefault="007D671A" w:rsidP="00D9289C">
      <w:pPr>
        <w:numPr>
          <w:ilvl w:val="0"/>
          <w:numId w:val="1"/>
        </w:numPr>
        <w:tabs>
          <w:tab w:val="clear" w:pos="2160"/>
          <w:tab w:val="num" w:pos="426"/>
        </w:tabs>
        <w:ind w:left="0" w:firstLine="0"/>
        <w:jc w:val="both"/>
        <w:rPr>
          <w:rFonts w:cs="Arial"/>
          <w:b/>
          <w:bCs/>
          <w:sz w:val="20"/>
        </w:rPr>
      </w:pPr>
      <w:r w:rsidRPr="00FB742A">
        <w:rPr>
          <w:rFonts w:cs="Arial"/>
          <w:b/>
          <w:bCs/>
          <w:sz w:val="20"/>
        </w:rPr>
        <w:t>SVRHA</w:t>
      </w:r>
    </w:p>
    <w:p w14:paraId="4D4C5E34" w14:textId="77777777" w:rsidR="002E1994" w:rsidRPr="00834F11" w:rsidRDefault="00371DE2" w:rsidP="00D9289C">
      <w:pPr>
        <w:jc w:val="both"/>
        <w:rPr>
          <w:rFonts w:cs="Arial"/>
          <w:sz w:val="20"/>
        </w:rPr>
      </w:pPr>
      <w:r w:rsidRPr="00834F11">
        <w:rPr>
          <w:rFonts w:cs="Arial"/>
          <w:sz w:val="20"/>
        </w:rPr>
        <w:t xml:space="preserve">Ovim postupkom određene su aktivnosti </w:t>
      </w:r>
      <w:r w:rsidR="00BD160E" w:rsidRPr="00834F11">
        <w:rPr>
          <w:rFonts w:cs="Arial"/>
          <w:sz w:val="20"/>
        </w:rPr>
        <w:t>utvrđivanja konteksta organizacije, zainteresiranih strana i njihovih zahtjeva, te analize i procjene rizika te upravljanje s njima</w:t>
      </w:r>
      <w:r w:rsidRPr="00834F11">
        <w:rPr>
          <w:rFonts w:cs="Arial"/>
          <w:sz w:val="20"/>
        </w:rPr>
        <w:t>.</w:t>
      </w:r>
    </w:p>
    <w:p w14:paraId="05C6C63D" w14:textId="77777777" w:rsidR="00BD160E" w:rsidRPr="00834F11" w:rsidRDefault="00BD160E" w:rsidP="00D9289C">
      <w:pPr>
        <w:jc w:val="both"/>
        <w:rPr>
          <w:rFonts w:cs="Arial"/>
          <w:sz w:val="20"/>
        </w:rPr>
      </w:pPr>
    </w:p>
    <w:p w14:paraId="35AFC15E" w14:textId="77777777" w:rsidR="007D671A" w:rsidRPr="00834F11" w:rsidRDefault="007D671A" w:rsidP="00D9289C">
      <w:pPr>
        <w:numPr>
          <w:ilvl w:val="0"/>
          <w:numId w:val="1"/>
        </w:numPr>
        <w:tabs>
          <w:tab w:val="clear" w:pos="2160"/>
          <w:tab w:val="num" w:pos="426"/>
        </w:tabs>
        <w:ind w:left="0" w:firstLine="0"/>
        <w:jc w:val="both"/>
        <w:rPr>
          <w:rFonts w:cs="Arial"/>
          <w:b/>
          <w:bCs/>
          <w:sz w:val="20"/>
        </w:rPr>
      </w:pPr>
      <w:r w:rsidRPr="00834F11">
        <w:rPr>
          <w:rFonts w:cs="Arial"/>
          <w:b/>
          <w:bCs/>
          <w:sz w:val="20"/>
        </w:rPr>
        <w:t>PODRUČJE PRIMJENE</w:t>
      </w:r>
    </w:p>
    <w:p w14:paraId="3299F742" w14:textId="77777777" w:rsidR="007D671A" w:rsidRPr="00834F11" w:rsidRDefault="002E1994" w:rsidP="00D9289C">
      <w:pPr>
        <w:tabs>
          <w:tab w:val="num" w:pos="426"/>
        </w:tabs>
        <w:jc w:val="both"/>
        <w:rPr>
          <w:rFonts w:cs="Arial"/>
          <w:color w:val="00B050"/>
          <w:sz w:val="20"/>
        </w:rPr>
      </w:pPr>
      <w:r w:rsidRPr="00834F11">
        <w:rPr>
          <w:rFonts w:cs="Arial"/>
          <w:sz w:val="20"/>
        </w:rPr>
        <w:t>Sve organizacijske jedinice</w:t>
      </w:r>
      <w:r w:rsidR="00CC02FD" w:rsidRPr="00834F11">
        <w:rPr>
          <w:rFonts w:cs="Arial"/>
          <w:sz w:val="20"/>
        </w:rPr>
        <w:t xml:space="preserve"> </w:t>
      </w:r>
    </w:p>
    <w:p w14:paraId="57AF7D16" w14:textId="77777777" w:rsidR="007D671A" w:rsidRPr="00834F11" w:rsidRDefault="007D671A" w:rsidP="00D9289C">
      <w:pPr>
        <w:pStyle w:val="Header"/>
        <w:tabs>
          <w:tab w:val="clear" w:pos="4153"/>
          <w:tab w:val="clear" w:pos="8306"/>
          <w:tab w:val="num" w:pos="426"/>
        </w:tabs>
        <w:jc w:val="both"/>
        <w:rPr>
          <w:rFonts w:cs="Arial"/>
          <w:sz w:val="20"/>
        </w:rPr>
      </w:pPr>
      <w:r w:rsidRPr="00834F11">
        <w:rPr>
          <w:rFonts w:cs="Arial"/>
          <w:sz w:val="20"/>
        </w:rPr>
        <w:tab/>
      </w:r>
      <w:r w:rsidRPr="00834F11">
        <w:rPr>
          <w:rFonts w:cs="Arial"/>
          <w:sz w:val="20"/>
        </w:rPr>
        <w:tab/>
      </w:r>
    </w:p>
    <w:p w14:paraId="025E943B" w14:textId="77777777" w:rsidR="007D671A" w:rsidRPr="00834F11" w:rsidRDefault="007D671A" w:rsidP="00D9289C">
      <w:pPr>
        <w:numPr>
          <w:ilvl w:val="0"/>
          <w:numId w:val="1"/>
        </w:numPr>
        <w:tabs>
          <w:tab w:val="clear" w:pos="2160"/>
          <w:tab w:val="num" w:pos="426"/>
        </w:tabs>
        <w:ind w:left="0" w:firstLine="0"/>
        <w:jc w:val="both"/>
        <w:rPr>
          <w:rFonts w:cs="Arial"/>
          <w:b/>
          <w:bCs/>
          <w:sz w:val="20"/>
        </w:rPr>
      </w:pPr>
      <w:r w:rsidRPr="00834F11">
        <w:rPr>
          <w:rFonts w:cs="Arial"/>
          <w:b/>
          <w:bCs/>
          <w:sz w:val="20"/>
        </w:rPr>
        <w:t>REFERENCE</w:t>
      </w:r>
    </w:p>
    <w:p w14:paraId="016949BE" w14:textId="70B042D2" w:rsidR="007D671A" w:rsidRPr="00834F11" w:rsidRDefault="00CC6C59" w:rsidP="00D9289C">
      <w:pPr>
        <w:tabs>
          <w:tab w:val="num" w:pos="426"/>
        </w:tabs>
        <w:jc w:val="both"/>
        <w:rPr>
          <w:rFonts w:cs="Arial"/>
          <w:sz w:val="20"/>
        </w:rPr>
      </w:pPr>
      <w:r w:rsidRPr="00830F74">
        <w:rPr>
          <w:rFonts w:cs="Arial"/>
          <w:sz w:val="20"/>
        </w:rPr>
        <w:t xml:space="preserve">HRN </w:t>
      </w:r>
      <w:r w:rsidR="00F412D0" w:rsidRPr="00834F11">
        <w:rPr>
          <w:rFonts w:cs="Arial"/>
          <w:sz w:val="20"/>
        </w:rPr>
        <w:t>EN ISO 900</w:t>
      </w:r>
      <w:r w:rsidR="00D83BAC" w:rsidRPr="00834F11">
        <w:rPr>
          <w:rFonts w:cs="Arial"/>
          <w:sz w:val="20"/>
        </w:rPr>
        <w:t>1</w:t>
      </w:r>
      <w:r w:rsidR="00F412D0" w:rsidRPr="00834F11">
        <w:rPr>
          <w:rFonts w:cs="Arial"/>
          <w:sz w:val="20"/>
        </w:rPr>
        <w:t>:</w:t>
      </w:r>
      <w:r w:rsidR="00FB742A" w:rsidRPr="00834F11">
        <w:rPr>
          <w:rFonts w:cs="Arial"/>
          <w:sz w:val="20"/>
        </w:rPr>
        <w:t>2015</w:t>
      </w:r>
    </w:p>
    <w:p w14:paraId="6DF2D4FB" w14:textId="36426316" w:rsidR="00CC6C59" w:rsidRPr="00830F74" w:rsidRDefault="00CC6C59" w:rsidP="00D9289C">
      <w:pPr>
        <w:tabs>
          <w:tab w:val="num" w:pos="426"/>
        </w:tabs>
        <w:jc w:val="both"/>
        <w:rPr>
          <w:rFonts w:cs="Arial"/>
          <w:i/>
          <w:iCs/>
          <w:sz w:val="20"/>
        </w:rPr>
      </w:pPr>
      <w:r w:rsidRPr="00830F74">
        <w:rPr>
          <w:rFonts w:cs="Arial"/>
          <w:i/>
          <w:iCs/>
          <w:sz w:val="20"/>
        </w:rPr>
        <w:t>HRN EN ISO 50001:2018</w:t>
      </w:r>
    </w:p>
    <w:p w14:paraId="3F3EBB3E" w14:textId="1A822C7E" w:rsidR="0058009F" w:rsidRPr="00834F11" w:rsidRDefault="0058009F" w:rsidP="00D9289C">
      <w:pPr>
        <w:tabs>
          <w:tab w:val="num" w:pos="426"/>
        </w:tabs>
        <w:jc w:val="both"/>
        <w:rPr>
          <w:rFonts w:cs="Arial"/>
          <w:sz w:val="20"/>
        </w:rPr>
      </w:pPr>
      <w:r w:rsidRPr="00834F11">
        <w:rPr>
          <w:rFonts w:cs="Arial"/>
          <w:sz w:val="20"/>
        </w:rPr>
        <w:t xml:space="preserve">International food standard,vol. </w:t>
      </w:r>
      <w:r w:rsidR="00CD5CD3" w:rsidRPr="00834F11">
        <w:rPr>
          <w:rFonts w:cs="Arial"/>
          <w:sz w:val="20"/>
        </w:rPr>
        <w:t>8</w:t>
      </w:r>
    </w:p>
    <w:p w14:paraId="38CD6EFD" w14:textId="3C78034F" w:rsidR="002E1994" w:rsidRPr="00834F11" w:rsidRDefault="00DB0A8A" w:rsidP="00D9289C">
      <w:pPr>
        <w:tabs>
          <w:tab w:val="num" w:pos="426"/>
        </w:tabs>
        <w:jc w:val="both"/>
        <w:rPr>
          <w:rFonts w:cs="Arial"/>
          <w:sz w:val="20"/>
        </w:rPr>
      </w:pPr>
      <w:r w:rsidRPr="00834F11">
        <w:rPr>
          <w:rFonts w:cs="Arial"/>
          <w:sz w:val="20"/>
        </w:rPr>
        <w:t>PO-SU-10</w:t>
      </w:r>
      <w:r w:rsidR="00850C34" w:rsidRPr="00834F11">
        <w:rPr>
          <w:rFonts w:cs="Arial"/>
          <w:sz w:val="20"/>
        </w:rPr>
        <w:t xml:space="preserve">, </w:t>
      </w:r>
      <w:r w:rsidRPr="00834F11">
        <w:rPr>
          <w:rFonts w:cs="Arial"/>
          <w:sz w:val="20"/>
        </w:rPr>
        <w:t>H</w:t>
      </w:r>
      <w:r w:rsidR="00B37560" w:rsidRPr="00834F11">
        <w:rPr>
          <w:rFonts w:cs="Arial"/>
          <w:sz w:val="20"/>
        </w:rPr>
        <w:t>ACCP</w:t>
      </w:r>
      <w:r w:rsidR="00850C34" w:rsidRPr="00834F11">
        <w:rPr>
          <w:rFonts w:cs="Arial"/>
          <w:sz w:val="20"/>
        </w:rPr>
        <w:t xml:space="preserve"> </w:t>
      </w:r>
      <w:r w:rsidR="007F641B" w:rsidRPr="00834F11">
        <w:rPr>
          <w:rFonts w:cs="Arial"/>
          <w:sz w:val="20"/>
        </w:rPr>
        <w:t>plan</w:t>
      </w:r>
    </w:p>
    <w:p w14:paraId="3C27AD16" w14:textId="77777777" w:rsidR="00DB0A8A" w:rsidRPr="00834F11" w:rsidRDefault="00BF7346" w:rsidP="00D9289C">
      <w:pPr>
        <w:tabs>
          <w:tab w:val="num" w:pos="426"/>
        </w:tabs>
        <w:jc w:val="both"/>
        <w:rPr>
          <w:rFonts w:cs="Arial"/>
          <w:sz w:val="20"/>
        </w:rPr>
      </w:pPr>
      <w:r w:rsidRPr="00834F11">
        <w:rPr>
          <w:rFonts w:cs="Arial"/>
          <w:sz w:val="20"/>
        </w:rPr>
        <w:t>RU</w:t>
      </w:r>
      <w:r w:rsidR="00850C34" w:rsidRPr="00834F11">
        <w:rPr>
          <w:rFonts w:cs="Arial"/>
          <w:sz w:val="20"/>
        </w:rPr>
        <w:t>-SU-0</w:t>
      </w:r>
      <w:r w:rsidRPr="00834F11">
        <w:rPr>
          <w:rFonts w:cs="Arial"/>
          <w:sz w:val="20"/>
        </w:rPr>
        <w:t xml:space="preserve">3, </w:t>
      </w:r>
      <w:r w:rsidRPr="00834F11">
        <w:rPr>
          <w:rFonts w:cs="Arial"/>
          <w:bCs/>
          <w:sz w:val="20"/>
        </w:rPr>
        <w:t xml:space="preserve">Radna uputa upravljanja obranom proizvoda </w:t>
      </w:r>
    </w:p>
    <w:p w14:paraId="59280247" w14:textId="77777777" w:rsidR="00DB0A8A" w:rsidRPr="00834F11" w:rsidRDefault="00DB0A8A" w:rsidP="00D9289C">
      <w:pPr>
        <w:tabs>
          <w:tab w:val="num" w:pos="426"/>
        </w:tabs>
        <w:jc w:val="both"/>
        <w:rPr>
          <w:rFonts w:cs="Arial"/>
          <w:sz w:val="20"/>
        </w:rPr>
      </w:pPr>
    </w:p>
    <w:p w14:paraId="6EEC3D19" w14:textId="77777777" w:rsidR="007D671A" w:rsidRPr="00834F11" w:rsidRDefault="007D671A" w:rsidP="00D9289C">
      <w:pPr>
        <w:numPr>
          <w:ilvl w:val="0"/>
          <w:numId w:val="1"/>
        </w:numPr>
        <w:tabs>
          <w:tab w:val="clear" w:pos="2160"/>
          <w:tab w:val="num" w:pos="426"/>
        </w:tabs>
        <w:ind w:left="0" w:firstLine="0"/>
        <w:jc w:val="both"/>
        <w:rPr>
          <w:rFonts w:cs="Arial"/>
          <w:b/>
          <w:bCs/>
          <w:sz w:val="20"/>
        </w:rPr>
      </w:pPr>
      <w:r w:rsidRPr="00834F11">
        <w:rPr>
          <w:rFonts w:cs="Arial"/>
          <w:b/>
          <w:bCs/>
          <w:sz w:val="20"/>
        </w:rPr>
        <w:t>DEFINICIJE I SKRAĆENICE</w:t>
      </w:r>
    </w:p>
    <w:p w14:paraId="77F0EA14" w14:textId="77777777" w:rsidR="003F1EA8" w:rsidRPr="00834F11" w:rsidRDefault="003F1EA8" w:rsidP="00D9289C">
      <w:pPr>
        <w:jc w:val="both"/>
        <w:rPr>
          <w:rFonts w:cs="Arial"/>
          <w:sz w:val="20"/>
        </w:rPr>
      </w:pPr>
      <w:r w:rsidRPr="00834F11">
        <w:rPr>
          <w:rFonts w:cs="Arial"/>
          <w:sz w:val="20"/>
          <w:u w:val="single"/>
        </w:rPr>
        <w:t>Voditelji službi/sektora</w:t>
      </w:r>
      <w:r w:rsidRPr="00834F11">
        <w:rPr>
          <w:rFonts w:cs="Arial"/>
          <w:sz w:val="20"/>
        </w:rPr>
        <w:t xml:space="preserve">- </w:t>
      </w:r>
      <w:r w:rsidR="00FC7CED" w:rsidRPr="00834F11">
        <w:rPr>
          <w:rFonts w:cs="Arial"/>
          <w:sz w:val="20"/>
        </w:rPr>
        <w:t>direktori/rukovoditelji/ voditelji</w:t>
      </w:r>
      <w:r w:rsidRPr="00834F11">
        <w:rPr>
          <w:rFonts w:cs="Arial"/>
          <w:sz w:val="20"/>
        </w:rPr>
        <w:t xml:space="preserve"> organizacijskih jedinica</w:t>
      </w:r>
    </w:p>
    <w:p w14:paraId="70510729" w14:textId="77777777" w:rsidR="002A22EB" w:rsidRPr="00834F11" w:rsidRDefault="002A22EB" w:rsidP="00D9289C">
      <w:pPr>
        <w:jc w:val="both"/>
        <w:rPr>
          <w:rFonts w:cs="Arial"/>
          <w:bCs/>
          <w:sz w:val="20"/>
        </w:rPr>
      </w:pPr>
      <w:r w:rsidRPr="00834F11">
        <w:rPr>
          <w:rFonts w:cs="Arial"/>
          <w:bCs/>
          <w:sz w:val="20"/>
        </w:rPr>
        <w:t>DD- Direktor društva</w:t>
      </w:r>
    </w:p>
    <w:p w14:paraId="6F8CA082" w14:textId="77777777" w:rsidR="00F21A09" w:rsidRPr="00834F11" w:rsidRDefault="00F21A09" w:rsidP="00D9289C">
      <w:pPr>
        <w:tabs>
          <w:tab w:val="num" w:pos="426"/>
        </w:tabs>
        <w:jc w:val="both"/>
        <w:rPr>
          <w:rFonts w:cs="Arial"/>
          <w:sz w:val="20"/>
        </w:rPr>
      </w:pPr>
      <w:r w:rsidRPr="00834F11">
        <w:rPr>
          <w:rFonts w:cs="Arial"/>
          <w:sz w:val="20"/>
        </w:rPr>
        <w:t>QM- voditelj sustava upravljanja za kvalitetom i sigurnost hrane</w:t>
      </w:r>
    </w:p>
    <w:p w14:paraId="00F69BBC" w14:textId="77777777" w:rsidR="00D463A2" w:rsidRPr="00834F11" w:rsidRDefault="00D463A2" w:rsidP="00D9289C">
      <w:pPr>
        <w:jc w:val="both"/>
        <w:rPr>
          <w:rFonts w:cs="Arial"/>
          <w:sz w:val="20"/>
        </w:rPr>
      </w:pPr>
      <w:r w:rsidRPr="00834F11">
        <w:rPr>
          <w:rFonts w:cs="Arial"/>
          <w:sz w:val="20"/>
        </w:rPr>
        <w:t>SU- sustav upravljanja kvalitetom</w:t>
      </w:r>
      <w:r w:rsidR="004A1FE1" w:rsidRPr="00834F11">
        <w:rPr>
          <w:rFonts w:cs="Arial"/>
          <w:sz w:val="20"/>
        </w:rPr>
        <w:t xml:space="preserve"> i sigurnosti hrane</w:t>
      </w:r>
    </w:p>
    <w:p w14:paraId="0FC11C32" w14:textId="77777777" w:rsidR="00DE1A43" w:rsidRPr="00834F11" w:rsidRDefault="00DE1A43" w:rsidP="00D9289C">
      <w:pPr>
        <w:pStyle w:val="Header"/>
        <w:tabs>
          <w:tab w:val="clear" w:pos="4153"/>
          <w:tab w:val="clear" w:pos="8306"/>
          <w:tab w:val="num" w:pos="426"/>
        </w:tabs>
        <w:jc w:val="both"/>
        <w:rPr>
          <w:rFonts w:cs="Arial"/>
          <w:sz w:val="20"/>
        </w:rPr>
      </w:pPr>
    </w:p>
    <w:p w14:paraId="7E6353AC" w14:textId="77777777" w:rsidR="007D671A" w:rsidRPr="00834F11" w:rsidRDefault="007D671A" w:rsidP="00D9289C">
      <w:pPr>
        <w:numPr>
          <w:ilvl w:val="0"/>
          <w:numId w:val="1"/>
        </w:numPr>
        <w:tabs>
          <w:tab w:val="clear" w:pos="2160"/>
          <w:tab w:val="num" w:pos="426"/>
        </w:tabs>
        <w:ind w:left="0" w:firstLine="0"/>
        <w:jc w:val="both"/>
        <w:rPr>
          <w:rFonts w:cs="Arial"/>
          <w:b/>
          <w:bCs/>
          <w:sz w:val="20"/>
        </w:rPr>
      </w:pPr>
      <w:r w:rsidRPr="00834F11">
        <w:rPr>
          <w:rFonts w:cs="Arial"/>
          <w:b/>
          <w:bCs/>
          <w:sz w:val="20"/>
        </w:rPr>
        <w:t>ODGOVORNOSTI</w:t>
      </w:r>
    </w:p>
    <w:p w14:paraId="438DEAF4" w14:textId="77777777" w:rsidR="00BD160E" w:rsidRPr="00834F11" w:rsidRDefault="00BD160E" w:rsidP="00D9289C">
      <w:pPr>
        <w:jc w:val="both"/>
        <w:rPr>
          <w:rFonts w:cs="Arial"/>
          <w:sz w:val="20"/>
        </w:rPr>
      </w:pPr>
      <w:r w:rsidRPr="00834F11">
        <w:rPr>
          <w:rFonts w:cs="Arial"/>
          <w:sz w:val="20"/>
        </w:rPr>
        <w:t>Uprava u suradnji sa Voditeljima službi/sektora definira kontekst organizacije, zainteresirane strane i njihove zahtjeve i očekivanja, te potiče prihvaćanje i upotrebu principa upravljanja rizicima u svim sferama poslovanja.</w:t>
      </w:r>
    </w:p>
    <w:p w14:paraId="367B5F71" w14:textId="77777777" w:rsidR="00BD160E" w:rsidRPr="00834F11" w:rsidRDefault="00BD160E" w:rsidP="00D9289C">
      <w:pPr>
        <w:jc w:val="both"/>
        <w:rPr>
          <w:rFonts w:cs="Arial"/>
          <w:sz w:val="20"/>
        </w:rPr>
      </w:pPr>
      <w:r w:rsidRPr="00834F11">
        <w:rPr>
          <w:rFonts w:cs="Arial"/>
          <w:sz w:val="20"/>
        </w:rPr>
        <w:t>Direktor službi/sektora je odgovoran da:</w:t>
      </w:r>
    </w:p>
    <w:p w14:paraId="360952DC" w14:textId="77777777" w:rsidR="00BD160E" w:rsidRPr="00834F11" w:rsidRDefault="00BD160E" w:rsidP="00D9289C">
      <w:pPr>
        <w:numPr>
          <w:ilvl w:val="0"/>
          <w:numId w:val="32"/>
        </w:numPr>
        <w:jc w:val="both"/>
        <w:rPr>
          <w:rFonts w:cs="Arial"/>
          <w:sz w:val="20"/>
        </w:rPr>
      </w:pPr>
      <w:r w:rsidRPr="00834F11">
        <w:rPr>
          <w:rFonts w:cs="Arial"/>
          <w:sz w:val="20"/>
        </w:rPr>
        <w:t>Upravlja cjelokupnim procesom rizika u okviru svoga procesa</w:t>
      </w:r>
    </w:p>
    <w:p w14:paraId="1EBC8F7A" w14:textId="77777777" w:rsidR="00BD160E" w:rsidRPr="00834F11" w:rsidRDefault="00BD160E" w:rsidP="00D9289C">
      <w:pPr>
        <w:numPr>
          <w:ilvl w:val="0"/>
          <w:numId w:val="32"/>
        </w:numPr>
        <w:jc w:val="both"/>
        <w:rPr>
          <w:rFonts w:cs="Arial"/>
          <w:sz w:val="20"/>
        </w:rPr>
      </w:pPr>
      <w:r w:rsidRPr="00834F11">
        <w:rPr>
          <w:rFonts w:cs="Arial"/>
          <w:sz w:val="20"/>
        </w:rPr>
        <w:t>Sudjeluje u definiranju ciljeva poslovanja, konteksta, zainteresiranih stana i njihovih zahtjeva</w:t>
      </w:r>
    </w:p>
    <w:p w14:paraId="42D8EEB9" w14:textId="77777777" w:rsidR="00BD160E" w:rsidRPr="00834F11" w:rsidRDefault="00BD160E" w:rsidP="00D9289C">
      <w:pPr>
        <w:numPr>
          <w:ilvl w:val="0"/>
          <w:numId w:val="32"/>
        </w:numPr>
        <w:jc w:val="both"/>
        <w:rPr>
          <w:rFonts w:cs="Arial"/>
          <w:sz w:val="20"/>
        </w:rPr>
      </w:pPr>
      <w:r w:rsidRPr="00834F11">
        <w:rPr>
          <w:rFonts w:cs="Arial"/>
          <w:sz w:val="20"/>
        </w:rPr>
        <w:t>Provodi identifikaciju, analizu i ocjenu rizika u svojoj službi/sektoru</w:t>
      </w:r>
    </w:p>
    <w:p w14:paraId="174AF9EA" w14:textId="77777777" w:rsidR="00BD160E" w:rsidRPr="00834F11" w:rsidRDefault="00BD160E" w:rsidP="00D9289C">
      <w:pPr>
        <w:numPr>
          <w:ilvl w:val="0"/>
          <w:numId w:val="32"/>
        </w:numPr>
        <w:jc w:val="both"/>
        <w:rPr>
          <w:rFonts w:cs="Arial"/>
          <w:sz w:val="20"/>
        </w:rPr>
      </w:pPr>
      <w:r w:rsidRPr="00834F11">
        <w:rPr>
          <w:rFonts w:cs="Arial"/>
          <w:sz w:val="20"/>
        </w:rPr>
        <w:t>Osigurava potrebne resurse, podatke i informacije tijekom procjene rizika u svojim procesima</w:t>
      </w:r>
    </w:p>
    <w:p w14:paraId="32623D28" w14:textId="77777777" w:rsidR="00BD160E" w:rsidRPr="00834F11" w:rsidRDefault="00BD160E" w:rsidP="00D9289C">
      <w:pPr>
        <w:numPr>
          <w:ilvl w:val="0"/>
          <w:numId w:val="32"/>
        </w:numPr>
        <w:jc w:val="both"/>
        <w:rPr>
          <w:rFonts w:cs="Arial"/>
          <w:sz w:val="20"/>
        </w:rPr>
      </w:pPr>
      <w:r w:rsidRPr="00834F11">
        <w:rPr>
          <w:rFonts w:cs="Arial"/>
          <w:sz w:val="20"/>
        </w:rPr>
        <w:t>Daje prijedloge tretmana za procijenjene rizike</w:t>
      </w:r>
    </w:p>
    <w:p w14:paraId="7DD0F561" w14:textId="77777777" w:rsidR="00BD160E" w:rsidRPr="00834F11" w:rsidRDefault="00BD160E" w:rsidP="00D9289C">
      <w:pPr>
        <w:numPr>
          <w:ilvl w:val="0"/>
          <w:numId w:val="32"/>
        </w:numPr>
        <w:jc w:val="both"/>
        <w:rPr>
          <w:rFonts w:cs="Arial"/>
          <w:sz w:val="20"/>
        </w:rPr>
      </w:pPr>
      <w:r w:rsidRPr="00834F11">
        <w:rPr>
          <w:rFonts w:cs="Arial"/>
          <w:sz w:val="20"/>
        </w:rPr>
        <w:t xml:space="preserve">Educira zaposlenike o rizicima i mjerama u svojoj službi/sektoru </w:t>
      </w:r>
    </w:p>
    <w:p w14:paraId="54627FE0" w14:textId="77777777" w:rsidR="00BD160E" w:rsidRPr="00834F11" w:rsidRDefault="00BD160E" w:rsidP="00D9289C">
      <w:pPr>
        <w:numPr>
          <w:ilvl w:val="0"/>
          <w:numId w:val="32"/>
        </w:numPr>
        <w:jc w:val="both"/>
        <w:rPr>
          <w:rFonts w:cs="Arial"/>
          <w:sz w:val="20"/>
        </w:rPr>
      </w:pPr>
      <w:r w:rsidRPr="00834F11">
        <w:rPr>
          <w:rFonts w:cs="Arial"/>
          <w:sz w:val="20"/>
        </w:rPr>
        <w:t>Inicira procjenu rizika (primarno, periodično, incidentno i uslijed velikih promjena) u svojoj službi/sektoru</w:t>
      </w:r>
    </w:p>
    <w:p w14:paraId="61D0951B" w14:textId="77777777" w:rsidR="00BD160E" w:rsidRPr="00834F11" w:rsidRDefault="00BD160E" w:rsidP="00D9289C">
      <w:pPr>
        <w:numPr>
          <w:ilvl w:val="0"/>
          <w:numId w:val="32"/>
        </w:numPr>
        <w:jc w:val="both"/>
        <w:rPr>
          <w:rFonts w:cs="Arial"/>
          <w:sz w:val="20"/>
        </w:rPr>
      </w:pPr>
      <w:r w:rsidRPr="00834F11">
        <w:rPr>
          <w:rFonts w:cs="Arial"/>
          <w:sz w:val="20"/>
        </w:rPr>
        <w:t>Prati provedbu definiranih mjera, te priprema i analizira izvještaje vezane uz rizike.</w:t>
      </w:r>
    </w:p>
    <w:p w14:paraId="19F519C2" w14:textId="77777777" w:rsidR="00BD160E" w:rsidRPr="00834F11" w:rsidRDefault="00BD160E" w:rsidP="00D9289C">
      <w:pPr>
        <w:numPr>
          <w:ilvl w:val="0"/>
          <w:numId w:val="32"/>
        </w:numPr>
        <w:jc w:val="both"/>
        <w:rPr>
          <w:rFonts w:cs="Arial"/>
          <w:sz w:val="20"/>
        </w:rPr>
      </w:pPr>
      <w:r w:rsidRPr="00834F11">
        <w:rPr>
          <w:rFonts w:cs="Arial"/>
          <w:sz w:val="20"/>
        </w:rPr>
        <w:t>Izvještava upravu o procesu upravljanja rizika (redovito izvještavanje i izvanredno ukoliko se radi o bitnim okolnostima).</w:t>
      </w:r>
    </w:p>
    <w:p w14:paraId="6AE9DEFF" w14:textId="77777777" w:rsidR="00BD160E" w:rsidRPr="00834F11" w:rsidRDefault="00BD160E" w:rsidP="00D9289C">
      <w:pPr>
        <w:adjustRightInd w:val="0"/>
        <w:jc w:val="both"/>
        <w:rPr>
          <w:rFonts w:eastAsia="Calibri" w:cs="Arial"/>
          <w:color w:val="FF0000"/>
          <w:sz w:val="21"/>
          <w:szCs w:val="21"/>
        </w:rPr>
      </w:pPr>
    </w:p>
    <w:p w14:paraId="291CCD55" w14:textId="77777777" w:rsidR="00BD160E" w:rsidRPr="00834F11" w:rsidRDefault="00BD160E" w:rsidP="00D9289C">
      <w:pPr>
        <w:adjustRightInd w:val="0"/>
        <w:jc w:val="both"/>
        <w:rPr>
          <w:rFonts w:eastAsia="Calibri" w:cs="Arial"/>
          <w:sz w:val="20"/>
        </w:rPr>
      </w:pPr>
      <w:r w:rsidRPr="00834F11">
        <w:rPr>
          <w:rFonts w:eastAsia="Calibri" w:cs="Arial"/>
          <w:sz w:val="20"/>
        </w:rPr>
        <w:t>QM</w:t>
      </w:r>
      <w:r w:rsidRPr="00834F11">
        <w:rPr>
          <w:rFonts w:cs="Arial"/>
          <w:sz w:val="20"/>
        </w:rPr>
        <w:t xml:space="preserve"> je odgovoran da:</w:t>
      </w:r>
    </w:p>
    <w:p w14:paraId="50FDF08C" w14:textId="77777777" w:rsidR="00BD160E" w:rsidRPr="00834F11" w:rsidRDefault="00BD160E" w:rsidP="00D9289C">
      <w:pPr>
        <w:numPr>
          <w:ilvl w:val="0"/>
          <w:numId w:val="32"/>
        </w:numPr>
        <w:jc w:val="both"/>
        <w:rPr>
          <w:rFonts w:cs="Arial"/>
          <w:sz w:val="20"/>
        </w:rPr>
      </w:pPr>
      <w:r w:rsidRPr="00834F11">
        <w:rPr>
          <w:rFonts w:cs="Arial"/>
          <w:sz w:val="20"/>
        </w:rPr>
        <w:t>Sudjeluje u izradi procedura i ostalih operativnih dokumentiranih informacija vezanih na rizike</w:t>
      </w:r>
    </w:p>
    <w:p w14:paraId="39020D51" w14:textId="77777777" w:rsidR="00BD160E" w:rsidRPr="00834F11" w:rsidRDefault="00BD160E" w:rsidP="00D9289C">
      <w:pPr>
        <w:numPr>
          <w:ilvl w:val="0"/>
          <w:numId w:val="32"/>
        </w:numPr>
        <w:adjustRightInd w:val="0"/>
        <w:jc w:val="both"/>
        <w:rPr>
          <w:rFonts w:eastAsia="Calibri" w:cs="Arial"/>
          <w:sz w:val="20"/>
        </w:rPr>
      </w:pPr>
      <w:r w:rsidRPr="00834F11">
        <w:rPr>
          <w:rFonts w:cs="Arial"/>
          <w:sz w:val="20"/>
        </w:rPr>
        <w:t xml:space="preserve">Sudjeluje u procesu identifikacije, analize, procjene i tretmana rizika </w:t>
      </w:r>
    </w:p>
    <w:p w14:paraId="1EC5A9D4" w14:textId="77777777" w:rsidR="00BD160E" w:rsidRPr="00834F11" w:rsidRDefault="00BD160E" w:rsidP="00D9289C">
      <w:pPr>
        <w:numPr>
          <w:ilvl w:val="0"/>
          <w:numId w:val="32"/>
        </w:numPr>
        <w:adjustRightInd w:val="0"/>
        <w:jc w:val="both"/>
        <w:rPr>
          <w:rFonts w:eastAsia="Calibri" w:cs="Arial"/>
          <w:sz w:val="20"/>
        </w:rPr>
      </w:pPr>
      <w:r w:rsidRPr="00834F11">
        <w:rPr>
          <w:rFonts w:eastAsia="Calibri" w:cs="Arial"/>
          <w:sz w:val="20"/>
        </w:rPr>
        <w:t>Usklađuje postojeći sustav upravljanja kvalitete i procjenu rizika.</w:t>
      </w:r>
    </w:p>
    <w:p w14:paraId="2010F5D8" w14:textId="77777777" w:rsidR="00BD160E" w:rsidRPr="00834F11" w:rsidRDefault="00BD160E" w:rsidP="00D9289C">
      <w:pPr>
        <w:numPr>
          <w:ilvl w:val="0"/>
          <w:numId w:val="32"/>
        </w:numPr>
        <w:adjustRightInd w:val="0"/>
        <w:jc w:val="both"/>
        <w:rPr>
          <w:rFonts w:cs="Arial"/>
          <w:sz w:val="20"/>
        </w:rPr>
      </w:pPr>
      <w:r w:rsidRPr="00834F11">
        <w:rPr>
          <w:rFonts w:cs="Arial"/>
          <w:sz w:val="20"/>
        </w:rPr>
        <w:t>Aktivno sudjeluje u svim aktivnostima procjene rizika.</w:t>
      </w:r>
    </w:p>
    <w:p w14:paraId="45B4326A" w14:textId="77777777" w:rsidR="00BD160E" w:rsidRPr="00834F11" w:rsidRDefault="00BD160E" w:rsidP="00D9289C">
      <w:pPr>
        <w:numPr>
          <w:ilvl w:val="0"/>
          <w:numId w:val="32"/>
        </w:numPr>
        <w:adjustRightInd w:val="0"/>
        <w:jc w:val="both"/>
        <w:rPr>
          <w:rFonts w:cs="Arial"/>
          <w:sz w:val="20"/>
        </w:rPr>
      </w:pPr>
      <w:r w:rsidRPr="00834F11">
        <w:rPr>
          <w:rFonts w:cs="Arial"/>
          <w:sz w:val="20"/>
        </w:rPr>
        <w:t>Izvještava upravu o svim aktivnostima bitnim za rizike.</w:t>
      </w:r>
    </w:p>
    <w:p w14:paraId="2CFEE945" w14:textId="77777777" w:rsidR="00BD160E" w:rsidRPr="00834F11" w:rsidRDefault="00BD160E" w:rsidP="00D9289C">
      <w:pPr>
        <w:adjustRightInd w:val="0"/>
        <w:jc w:val="both"/>
        <w:rPr>
          <w:rFonts w:eastAsia="Calibri" w:cs="Arial"/>
          <w:sz w:val="20"/>
        </w:rPr>
      </w:pPr>
    </w:p>
    <w:p w14:paraId="4A47D0F6" w14:textId="77777777" w:rsidR="00BD160E" w:rsidRPr="00834F11" w:rsidRDefault="00BD160E" w:rsidP="00D9289C">
      <w:pPr>
        <w:jc w:val="both"/>
        <w:rPr>
          <w:rFonts w:cs="Arial"/>
          <w:sz w:val="20"/>
        </w:rPr>
      </w:pPr>
      <w:r w:rsidRPr="00834F11">
        <w:rPr>
          <w:rFonts w:cs="Arial"/>
          <w:sz w:val="20"/>
        </w:rPr>
        <w:t>Zaposlenici imaju obavezu i pravo na poznavanje procesa upravljanja rizicima u okviru svoga radnog mjesta i procesa u kojem sudjeluju, a odgovorni su u provođenju tretmana rizika u djelu koji je vezan uz njihove obveze. Svaki zaposlenik odgovoran je da o potencijalnim rizicima izvještava voditelja službe/sektora.</w:t>
      </w:r>
    </w:p>
    <w:p w14:paraId="40283F7D" w14:textId="77777777" w:rsidR="00BD160E" w:rsidRPr="00834F11" w:rsidRDefault="00BD160E" w:rsidP="00D9289C">
      <w:pPr>
        <w:pStyle w:val="Header"/>
        <w:tabs>
          <w:tab w:val="clear" w:pos="4153"/>
          <w:tab w:val="clear" w:pos="8306"/>
          <w:tab w:val="num" w:pos="426"/>
        </w:tabs>
        <w:jc w:val="both"/>
        <w:rPr>
          <w:rFonts w:cs="Arial"/>
          <w:sz w:val="20"/>
        </w:rPr>
      </w:pPr>
    </w:p>
    <w:p w14:paraId="63187B3F" w14:textId="77777777" w:rsidR="007D671A" w:rsidRPr="00834F11" w:rsidRDefault="007D671A" w:rsidP="00D9289C">
      <w:pPr>
        <w:numPr>
          <w:ilvl w:val="0"/>
          <w:numId w:val="1"/>
        </w:numPr>
        <w:tabs>
          <w:tab w:val="clear" w:pos="2160"/>
          <w:tab w:val="num" w:pos="426"/>
        </w:tabs>
        <w:ind w:left="0" w:firstLine="0"/>
        <w:jc w:val="both"/>
        <w:rPr>
          <w:rFonts w:cs="Arial"/>
          <w:b/>
          <w:bCs/>
          <w:sz w:val="20"/>
        </w:rPr>
      </w:pPr>
      <w:r w:rsidRPr="00834F11">
        <w:rPr>
          <w:rFonts w:cs="Arial"/>
          <w:b/>
          <w:bCs/>
          <w:sz w:val="20"/>
        </w:rPr>
        <w:t>POSTUPAK</w:t>
      </w:r>
    </w:p>
    <w:p w14:paraId="3D3CFBC0" w14:textId="77777777" w:rsidR="00BD160E" w:rsidRPr="00834F11" w:rsidRDefault="00BD160E" w:rsidP="00D9289C">
      <w:pPr>
        <w:numPr>
          <w:ilvl w:val="1"/>
          <w:numId w:val="1"/>
        </w:numPr>
        <w:tabs>
          <w:tab w:val="clear" w:pos="2160"/>
          <w:tab w:val="num" w:pos="567"/>
        </w:tabs>
        <w:adjustRightInd w:val="0"/>
        <w:ind w:hanging="2160"/>
        <w:jc w:val="both"/>
        <w:rPr>
          <w:rFonts w:eastAsia="Calibri" w:cs="Arial"/>
          <w:b/>
          <w:sz w:val="20"/>
        </w:rPr>
      </w:pPr>
      <w:r w:rsidRPr="00834F11">
        <w:rPr>
          <w:rFonts w:eastAsia="Calibri" w:cs="Arial"/>
          <w:b/>
          <w:sz w:val="20"/>
        </w:rPr>
        <w:t>RAZUMIJEVANJE I KONTEKST ORGANIZACIJE</w:t>
      </w:r>
    </w:p>
    <w:p w14:paraId="6792C2C0" w14:textId="77777777" w:rsidR="00BD160E" w:rsidRPr="00834F11" w:rsidRDefault="00BD160E" w:rsidP="00D9289C">
      <w:pPr>
        <w:jc w:val="both"/>
        <w:rPr>
          <w:rFonts w:cs="Arial"/>
          <w:sz w:val="20"/>
        </w:rPr>
      </w:pPr>
      <w:r w:rsidRPr="00834F11">
        <w:rPr>
          <w:rFonts w:cs="Arial"/>
          <w:sz w:val="20"/>
        </w:rPr>
        <w:t xml:space="preserve">Uprava u suradnji sa voditeljima službi/sektora definira kontekst organizacije na dokumentu Opseg sustava upravljanja i kontekst organizacije, u kojem definira područje primjene SU, te određuje vanjska i unutarnja "pitanja" koja su relevantna za svrhu, strateški pravac i postizanje ciljeva u SU. </w:t>
      </w:r>
    </w:p>
    <w:p w14:paraId="04461CF7" w14:textId="77777777" w:rsidR="00BD160E" w:rsidRPr="00834F11" w:rsidRDefault="00BD160E" w:rsidP="00D9289C">
      <w:pPr>
        <w:jc w:val="both"/>
        <w:rPr>
          <w:rFonts w:cs="Arial"/>
          <w:sz w:val="20"/>
        </w:rPr>
      </w:pPr>
      <w:r w:rsidRPr="00834F11">
        <w:rPr>
          <w:rFonts w:cs="Arial"/>
          <w:sz w:val="20"/>
        </w:rPr>
        <w:t>Pri određivanju relevantnih vanjskih i unutarnjih pitanja, uzimaju se u obzir pravni, tehnološki, konkurentski, tržišni, kulturološki, društveni i gospodarski uvjeti u okruženju u kojem se provode aktivnosti poslovanja.</w:t>
      </w:r>
    </w:p>
    <w:p w14:paraId="10D1E1B6" w14:textId="77777777" w:rsidR="00BD160E" w:rsidRPr="00834F11" w:rsidRDefault="00BD160E" w:rsidP="00D9289C">
      <w:pPr>
        <w:jc w:val="both"/>
        <w:rPr>
          <w:rFonts w:cs="Arial"/>
          <w:sz w:val="20"/>
        </w:rPr>
      </w:pPr>
    </w:p>
    <w:p w14:paraId="5ECCBC83" w14:textId="77777777" w:rsidR="00BD160E" w:rsidRPr="00834F11" w:rsidRDefault="00BD160E" w:rsidP="00D9289C">
      <w:pPr>
        <w:jc w:val="both"/>
        <w:rPr>
          <w:rFonts w:cs="Arial"/>
          <w:sz w:val="20"/>
        </w:rPr>
      </w:pPr>
      <w:r w:rsidRPr="00834F11">
        <w:rPr>
          <w:rFonts w:cs="Arial"/>
          <w:sz w:val="20"/>
        </w:rPr>
        <w:lastRenderedPageBreak/>
        <w:t>Vanjska pitanja predstavlja vanjsko okruženje u kojem se organizacija nalazi i ostvaruje svoje ciljeve. Poznavanje vanjskog konteksta je bitno kako bi se prilikom analize rizika u obzir uzeli i faktori koji djeluju izvan organizacije. Vanjski kontekst predstavlja veoma široko polje faktora, ali prilikom analize bitno je analizirati one faktore koji su od najveće važnosti za samu organizaciju. Vanjski faktori mogu uključivati:</w:t>
      </w:r>
    </w:p>
    <w:p w14:paraId="6F68CCAC"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Socijalno okruženje</w:t>
      </w:r>
    </w:p>
    <w:p w14:paraId="2280CF95"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Kulturno okruženje</w:t>
      </w:r>
    </w:p>
    <w:p w14:paraId="42A84C96"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Ekonomsko stanje</w:t>
      </w:r>
    </w:p>
    <w:p w14:paraId="4D8EFEF1"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Državno uređenje</w:t>
      </w:r>
    </w:p>
    <w:p w14:paraId="01D74556"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 xml:space="preserve">Politički ustroj </w:t>
      </w:r>
    </w:p>
    <w:p w14:paraId="3A8BA94B"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Religiozni faktori</w:t>
      </w:r>
    </w:p>
    <w:p w14:paraId="1AEA6CCE"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Financijsko okruženje</w:t>
      </w:r>
    </w:p>
    <w:p w14:paraId="2E5CDB0D"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Tehnološka razvijenost</w:t>
      </w:r>
    </w:p>
    <w:p w14:paraId="3B4C4EC0"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Ekonomski uvjeti</w:t>
      </w:r>
    </w:p>
    <w:p w14:paraId="7975EB19"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Prirodni resursi</w:t>
      </w:r>
    </w:p>
    <w:p w14:paraId="3BC905A2"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Kretanje tržišta</w:t>
      </w:r>
    </w:p>
    <w:p w14:paraId="29E9F2E4" w14:textId="77777777" w:rsidR="00BD160E" w:rsidRPr="00834F11" w:rsidRDefault="00BD160E" w:rsidP="00D9289C">
      <w:pPr>
        <w:jc w:val="both"/>
        <w:rPr>
          <w:rFonts w:cs="Arial"/>
        </w:rPr>
      </w:pPr>
    </w:p>
    <w:p w14:paraId="0F17E2E8" w14:textId="77777777" w:rsidR="00BD160E" w:rsidRPr="00834F11" w:rsidRDefault="00BD160E" w:rsidP="00D9289C">
      <w:pPr>
        <w:jc w:val="both"/>
        <w:rPr>
          <w:rFonts w:cs="Arial"/>
          <w:sz w:val="20"/>
        </w:rPr>
      </w:pPr>
      <w:r w:rsidRPr="00834F11">
        <w:rPr>
          <w:rFonts w:cs="Arial"/>
          <w:sz w:val="20"/>
        </w:rPr>
        <w:t>Unutarnji kontekst predstavlja stanje unutar organizacije. Unutarnji faktor može biti bilo koja pojava unutar organizacije koja ima utjecaj na ostvarenje ciljeva organizacije. Unutarnji faktori mogu uključivati:</w:t>
      </w:r>
    </w:p>
    <w:p w14:paraId="22689C19"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Vodstvo i organizacijska struktura</w:t>
      </w:r>
    </w:p>
    <w:p w14:paraId="22393F4E"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Politiku i ciljeve organizacije</w:t>
      </w:r>
    </w:p>
    <w:p w14:paraId="093E4D1C"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Uloge i odgovornosti</w:t>
      </w:r>
    </w:p>
    <w:p w14:paraId="3620E05F"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Strategiju poslovanja organizacije (ciljevi i strategije ostvarenja ciljeva)</w:t>
      </w:r>
    </w:p>
    <w:p w14:paraId="264C7501"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Kapaciteti (Intelektualni i financijski)</w:t>
      </w:r>
    </w:p>
    <w:p w14:paraId="5E316EB2"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Tok informacija</w:t>
      </w:r>
    </w:p>
    <w:p w14:paraId="29707982"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Procesi donošenja uloga</w:t>
      </w:r>
    </w:p>
    <w:p w14:paraId="5AF237B5"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Postojeće standarde po kojima organizacija posluje</w:t>
      </w:r>
    </w:p>
    <w:p w14:paraId="194FFF89" w14:textId="77777777" w:rsidR="00BD160E" w:rsidRPr="00834F11" w:rsidRDefault="00BD160E" w:rsidP="00D9289C">
      <w:pPr>
        <w:pStyle w:val="ListParagraph"/>
        <w:numPr>
          <w:ilvl w:val="0"/>
          <w:numId w:val="34"/>
        </w:numPr>
        <w:adjustRightInd w:val="0"/>
        <w:jc w:val="both"/>
        <w:rPr>
          <w:rFonts w:ascii="Arial" w:eastAsia="Calibri" w:hAnsi="Arial" w:cs="Arial"/>
          <w:lang w:val="hr-HR"/>
        </w:rPr>
      </w:pPr>
      <w:r w:rsidRPr="00834F11">
        <w:rPr>
          <w:rFonts w:ascii="Arial" w:eastAsia="Calibri" w:hAnsi="Arial" w:cs="Arial"/>
          <w:lang w:val="hr-HR"/>
        </w:rPr>
        <w:t>Odnosi sa dobavljačima</w:t>
      </w:r>
    </w:p>
    <w:p w14:paraId="42D7A6C0" w14:textId="4F69D3CE" w:rsidR="00CC6C59" w:rsidRPr="00830F74" w:rsidRDefault="00CC6C59" w:rsidP="00D9289C">
      <w:pPr>
        <w:pStyle w:val="ListParagraph"/>
        <w:numPr>
          <w:ilvl w:val="0"/>
          <w:numId w:val="34"/>
        </w:numPr>
        <w:adjustRightInd w:val="0"/>
        <w:jc w:val="both"/>
        <w:rPr>
          <w:rFonts w:ascii="Arial" w:eastAsia="Calibri" w:hAnsi="Arial" w:cs="Arial"/>
          <w:i/>
          <w:iCs/>
          <w:lang w:val="hr-HR"/>
        </w:rPr>
      </w:pPr>
      <w:r w:rsidRPr="00830F74">
        <w:rPr>
          <w:rFonts w:ascii="Arial" w:eastAsia="Calibri" w:hAnsi="Arial" w:cs="Arial"/>
          <w:i/>
          <w:iCs/>
          <w:lang w:val="hr-HR"/>
        </w:rPr>
        <w:t>Energetske performanse</w:t>
      </w:r>
    </w:p>
    <w:p w14:paraId="2D0AEA03" w14:textId="77777777" w:rsidR="00BD160E" w:rsidRPr="00834F11" w:rsidRDefault="00BD160E" w:rsidP="00D9289C">
      <w:pPr>
        <w:adjustRightInd w:val="0"/>
        <w:jc w:val="both"/>
        <w:rPr>
          <w:rFonts w:eastAsia="Calibri" w:cs="Arial"/>
          <w:sz w:val="23"/>
          <w:szCs w:val="23"/>
        </w:rPr>
      </w:pPr>
    </w:p>
    <w:p w14:paraId="16C03442" w14:textId="77777777" w:rsidR="00BD160E" w:rsidRPr="00834F11" w:rsidRDefault="00BD160E" w:rsidP="00D61087">
      <w:pPr>
        <w:rPr>
          <w:rFonts w:cs="Arial"/>
          <w:sz w:val="20"/>
        </w:rPr>
      </w:pPr>
      <w:r w:rsidRPr="00834F11">
        <w:rPr>
          <w:rFonts w:cs="Arial"/>
          <w:sz w:val="20"/>
        </w:rPr>
        <w:t>Minimalno jedan put godišnje, a po potrebi i češće, Uprava razmatra utvrđeni kontekst organizacije, te ga revidira s obzirom na promjene unutar pojedinih aspekata konteksta.</w:t>
      </w:r>
    </w:p>
    <w:p w14:paraId="66A1802C" w14:textId="77777777" w:rsidR="00BD160E" w:rsidRPr="00834F11" w:rsidRDefault="00BD160E" w:rsidP="00D9289C">
      <w:pPr>
        <w:jc w:val="both"/>
        <w:rPr>
          <w:rFonts w:cs="Arial"/>
          <w:sz w:val="20"/>
        </w:rPr>
      </w:pPr>
    </w:p>
    <w:p w14:paraId="5CBEFAAA" w14:textId="77777777" w:rsidR="00DB0A8A" w:rsidRPr="00834F11" w:rsidRDefault="00DB0A8A" w:rsidP="00D9289C">
      <w:pPr>
        <w:numPr>
          <w:ilvl w:val="1"/>
          <w:numId w:val="1"/>
        </w:numPr>
        <w:tabs>
          <w:tab w:val="clear" w:pos="2160"/>
          <w:tab w:val="num" w:pos="567"/>
        </w:tabs>
        <w:adjustRightInd w:val="0"/>
        <w:ind w:hanging="2160"/>
        <w:jc w:val="both"/>
        <w:rPr>
          <w:rFonts w:eastAsia="Calibri" w:cs="Arial"/>
          <w:b/>
          <w:sz w:val="20"/>
        </w:rPr>
      </w:pPr>
      <w:bookmarkStart w:id="0" w:name="_Toc474156589"/>
      <w:r w:rsidRPr="00834F11">
        <w:rPr>
          <w:rFonts w:eastAsia="Calibri" w:cs="Arial"/>
          <w:b/>
          <w:sz w:val="20"/>
        </w:rPr>
        <w:t>RAZUMIJEVANJE POTREBA I OČEKIVANJA ZAINTERESIRANIH STRANA</w:t>
      </w:r>
      <w:bookmarkEnd w:id="0"/>
    </w:p>
    <w:p w14:paraId="25A32E11" w14:textId="77777777" w:rsidR="00DB0A8A" w:rsidRPr="00834F11" w:rsidRDefault="00DB0A8A" w:rsidP="00D9289C">
      <w:pPr>
        <w:jc w:val="both"/>
        <w:rPr>
          <w:rFonts w:cs="Arial"/>
          <w:sz w:val="20"/>
        </w:rPr>
      </w:pPr>
      <w:r w:rsidRPr="00834F11">
        <w:rPr>
          <w:rFonts w:cs="Arial"/>
          <w:sz w:val="20"/>
        </w:rPr>
        <w:t>Na temelju utvrđenog konteksta organizacije, Uprava sa voditeljima službi/sektora definira zainteresirane strane koje su bitne za sustav upravljanja, te utvrđuje njihove zahtjeve u dokumentu Zainteresirane strane i upravljanje rizicima (OB-SU-12).</w:t>
      </w:r>
    </w:p>
    <w:p w14:paraId="002B01A5" w14:textId="77777777" w:rsidR="00DB0A8A" w:rsidRPr="00834F11" w:rsidRDefault="00DB0A8A" w:rsidP="00D9289C">
      <w:pPr>
        <w:jc w:val="both"/>
        <w:rPr>
          <w:rFonts w:cs="Arial"/>
          <w:sz w:val="20"/>
        </w:rPr>
      </w:pPr>
    </w:p>
    <w:p w14:paraId="0CEAC4A7" w14:textId="77777777" w:rsidR="00DB0A8A" w:rsidRPr="00834F11" w:rsidRDefault="00DB0A8A" w:rsidP="00D9289C">
      <w:pPr>
        <w:jc w:val="both"/>
        <w:rPr>
          <w:rFonts w:cs="Arial"/>
          <w:sz w:val="20"/>
        </w:rPr>
      </w:pPr>
      <w:r w:rsidRPr="00834F11">
        <w:rPr>
          <w:rFonts w:cs="Arial"/>
          <w:sz w:val="20"/>
        </w:rPr>
        <w:t>Minimalno jedan put godišnje, te kad dođe do promjene, Uprava razmatra utvrđene zainteresirane strane i njihove zahtjeve, a voditelji službi/sektora dužni su o svim novim zahtjevima ili novim zainteresiranim stranama obavijestiti Upravu.</w:t>
      </w:r>
    </w:p>
    <w:p w14:paraId="2586E681" w14:textId="77777777" w:rsidR="00DB0A8A" w:rsidRPr="00834F11" w:rsidRDefault="00DB0A8A" w:rsidP="00D9289C">
      <w:pPr>
        <w:jc w:val="both"/>
        <w:rPr>
          <w:rFonts w:cs="Arial"/>
          <w:sz w:val="20"/>
        </w:rPr>
      </w:pPr>
    </w:p>
    <w:p w14:paraId="4345AEAE" w14:textId="7E6C90D7" w:rsidR="00DB0A8A" w:rsidRPr="00834F11" w:rsidRDefault="00DB0A8A" w:rsidP="00D9289C">
      <w:pPr>
        <w:jc w:val="both"/>
        <w:rPr>
          <w:rFonts w:cs="Arial"/>
          <w:sz w:val="20"/>
        </w:rPr>
      </w:pPr>
      <w:r w:rsidRPr="00834F11">
        <w:rPr>
          <w:rFonts w:cs="Arial"/>
          <w:sz w:val="20"/>
        </w:rPr>
        <w:t xml:space="preserve">U Mlinar </w:t>
      </w:r>
      <w:r w:rsidR="00DA3D4F" w:rsidRPr="00834F11">
        <w:rPr>
          <w:rFonts w:cs="Arial"/>
          <w:sz w:val="20"/>
        </w:rPr>
        <w:t>pekarska industrija d.o.o.</w:t>
      </w:r>
      <w:r w:rsidRPr="00834F11">
        <w:rPr>
          <w:rFonts w:cs="Arial"/>
          <w:sz w:val="20"/>
        </w:rPr>
        <w:t xml:space="preserve"> je uspostavljen, implementiran i održavan sustav upravljanja kvalitetom</w:t>
      </w:r>
      <w:r w:rsidR="00CC6C59" w:rsidRPr="00834F11">
        <w:rPr>
          <w:rFonts w:cs="Arial"/>
          <w:sz w:val="20"/>
        </w:rPr>
        <w:t xml:space="preserve">, </w:t>
      </w:r>
      <w:r w:rsidR="00CC6C59" w:rsidRPr="00830F74">
        <w:rPr>
          <w:rFonts w:cs="Arial"/>
          <w:i/>
          <w:iCs/>
          <w:sz w:val="20"/>
        </w:rPr>
        <w:t>energijom</w:t>
      </w:r>
      <w:r w:rsidRPr="00834F11">
        <w:rPr>
          <w:rFonts w:cs="Arial"/>
          <w:sz w:val="20"/>
        </w:rPr>
        <w:t xml:space="preserve"> i sigurnosti hrane na temelju primijenjenih standarda te propisan sustavskim dokumentima definiranim u OB-SU-01 (Popis sustavskih dokumenata), u kojem su definirani pojedini procesi, njihove međusobne veze i odgovornosti za provedbu istih.</w:t>
      </w:r>
    </w:p>
    <w:p w14:paraId="634B3345" w14:textId="77777777" w:rsidR="00DB0A8A" w:rsidRPr="00834F11" w:rsidRDefault="00DB0A8A" w:rsidP="00D9289C">
      <w:pPr>
        <w:jc w:val="both"/>
        <w:rPr>
          <w:rFonts w:cs="Arial"/>
        </w:rPr>
      </w:pPr>
    </w:p>
    <w:p w14:paraId="56FACF5B" w14:textId="77777777" w:rsidR="00DB0A8A" w:rsidRPr="00834F11" w:rsidRDefault="00DB0A8A" w:rsidP="00D9289C">
      <w:pPr>
        <w:jc w:val="both"/>
        <w:rPr>
          <w:rFonts w:cs="Arial"/>
          <w:sz w:val="20"/>
        </w:rPr>
      </w:pPr>
      <w:r w:rsidRPr="00834F11">
        <w:rPr>
          <w:rFonts w:cs="Arial"/>
          <w:sz w:val="20"/>
        </w:rPr>
        <w:t>Prilikom definiranja procesa utvrđuju se:</w:t>
      </w:r>
    </w:p>
    <w:p w14:paraId="6EF1C879" w14:textId="77777777" w:rsidR="00DB0A8A" w:rsidRPr="00834F11" w:rsidRDefault="00DB0A8A" w:rsidP="00D9289C">
      <w:pPr>
        <w:jc w:val="both"/>
        <w:rPr>
          <w:rFonts w:cs="Arial"/>
          <w:sz w:val="20"/>
        </w:rPr>
      </w:pPr>
      <w:r w:rsidRPr="00834F11">
        <w:rPr>
          <w:rFonts w:cs="Arial"/>
          <w:sz w:val="20"/>
        </w:rPr>
        <w:t>a) potrebni ulazi i očekivani izlazi tih procesa;</w:t>
      </w:r>
    </w:p>
    <w:p w14:paraId="4CA4B1CF" w14:textId="77777777" w:rsidR="00DB0A8A" w:rsidRPr="00834F11" w:rsidRDefault="00DB0A8A" w:rsidP="00D9289C">
      <w:pPr>
        <w:jc w:val="both"/>
        <w:rPr>
          <w:rFonts w:cs="Arial"/>
          <w:sz w:val="20"/>
        </w:rPr>
      </w:pPr>
      <w:r w:rsidRPr="00834F11">
        <w:rPr>
          <w:rFonts w:cs="Arial"/>
          <w:sz w:val="20"/>
        </w:rPr>
        <w:t>b) redoslijed i međudjelovanja tih procesa;</w:t>
      </w:r>
    </w:p>
    <w:p w14:paraId="654622BF" w14:textId="77777777" w:rsidR="00DB0A8A" w:rsidRPr="00834F11" w:rsidRDefault="00DB0A8A" w:rsidP="00D9289C">
      <w:pPr>
        <w:jc w:val="both"/>
        <w:rPr>
          <w:rFonts w:cs="Arial"/>
          <w:sz w:val="20"/>
        </w:rPr>
      </w:pPr>
      <w:r w:rsidRPr="00834F11">
        <w:rPr>
          <w:rFonts w:cs="Arial"/>
          <w:sz w:val="20"/>
        </w:rPr>
        <w:t>c) kriteriji i metode potrebne za osiguranje djelotvorne provedbe i nadzora nad tim procesima;</w:t>
      </w:r>
    </w:p>
    <w:p w14:paraId="4EAFDD57" w14:textId="77777777" w:rsidR="00DB0A8A" w:rsidRPr="00834F11" w:rsidRDefault="00DB0A8A" w:rsidP="00D9289C">
      <w:pPr>
        <w:jc w:val="both"/>
        <w:rPr>
          <w:rFonts w:cs="Arial"/>
          <w:sz w:val="20"/>
        </w:rPr>
      </w:pPr>
      <w:r w:rsidRPr="00834F11">
        <w:rPr>
          <w:rFonts w:cs="Arial"/>
          <w:sz w:val="20"/>
        </w:rPr>
        <w:t>d) resursi potrebni za te procese i osigurana njihova raspoloživost;</w:t>
      </w:r>
    </w:p>
    <w:p w14:paraId="4BCB3848" w14:textId="77777777" w:rsidR="00DB0A8A" w:rsidRPr="00834F11" w:rsidRDefault="00DB0A8A" w:rsidP="00D9289C">
      <w:pPr>
        <w:jc w:val="both"/>
        <w:rPr>
          <w:rFonts w:cs="Arial"/>
          <w:sz w:val="20"/>
        </w:rPr>
      </w:pPr>
      <w:r w:rsidRPr="00834F11">
        <w:rPr>
          <w:rFonts w:cs="Arial"/>
          <w:sz w:val="20"/>
        </w:rPr>
        <w:t>e) odgovornosti i ovlaštenja za te procese;</w:t>
      </w:r>
    </w:p>
    <w:p w14:paraId="4E3B0EA7" w14:textId="77777777" w:rsidR="00DB0A8A" w:rsidRPr="00834F11" w:rsidRDefault="00DB0A8A" w:rsidP="00D9289C">
      <w:pPr>
        <w:jc w:val="both"/>
        <w:rPr>
          <w:rFonts w:cs="Arial"/>
          <w:sz w:val="20"/>
        </w:rPr>
      </w:pPr>
      <w:r w:rsidRPr="00834F11">
        <w:rPr>
          <w:rFonts w:cs="Arial"/>
          <w:sz w:val="20"/>
        </w:rPr>
        <w:t xml:space="preserve">f) koraci povezani s rizicima i prilikama </w:t>
      </w:r>
    </w:p>
    <w:p w14:paraId="4AADF71B" w14:textId="77777777" w:rsidR="00DB0A8A" w:rsidRPr="00834F11" w:rsidRDefault="00DB0A8A" w:rsidP="00D9289C">
      <w:pPr>
        <w:jc w:val="both"/>
        <w:rPr>
          <w:rFonts w:cs="Arial"/>
        </w:rPr>
      </w:pPr>
    </w:p>
    <w:p w14:paraId="0EEDA9DE" w14:textId="77777777" w:rsidR="00DB0A8A" w:rsidRPr="00834F11" w:rsidRDefault="00DB0A8A" w:rsidP="00D9289C">
      <w:pPr>
        <w:jc w:val="both"/>
        <w:rPr>
          <w:rFonts w:cs="Arial"/>
          <w:sz w:val="20"/>
        </w:rPr>
      </w:pPr>
      <w:r w:rsidRPr="00834F11">
        <w:rPr>
          <w:rFonts w:cs="Arial"/>
          <w:sz w:val="20"/>
        </w:rPr>
        <w:t>Ulazi i izlazi pojedinih procesa definiraju se u Zainteresirane strane i upravljanje rizicima (OB-SU-12).</w:t>
      </w:r>
    </w:p>
    <w:p w14:paraId="4E9A6212" w14:textId="77777777" w:rsidR="00C009EA" w:rsidRPr="00834F11" w:rsidRDefault="00C009EA" w:rsidP="00D9289C">
      <w:pPr>
        <w:jc w:val="both"/>
        <w:rPr>
          <w:rFonts w:cs="Arial"/>
          <w:sz w:val="20"/>
        </w:rPr>
      </w:pPr>
    </w:p>
    <w:p w14:paraId="13B11DC4" w14:textId="77777777" w:rsidR="00C009EA" w:rsidRPr="00834F11" w:rsidRDefault="00C009EA" w:rsidP="00D61087">
      <w:pPr>
        <w:rPr>
          <w:rFonts w:cs="Arial"/>
          <w:sz w:val="20"/>
        </w:rPr>
      </w:pPr>
    </w:p>
    <w:p w14:paraId="0CCF97C9" w14:textId="77777777" w:rsidR="00BD160E" w:rsidRPr="00834F11" w:rsidRDefault="00BD160E" w:rsidP="00D61087">
      <w:pPr>
        <w:rPr>
          <w:rFonts w:cs="Arial"/>
          <w:sz w:val="20"/>
        </w:rPr>
      </w:pPr>
    </w:p>
    <w:p w14:paraId="12FEBA9C" w14:textId="77777777" w:rsidR="00322713" w:rsidRPr="00834F11" w:rsidRDefault="00322713" w:rsidP="00D61087">
      <w:pPr>
        <w:rPr>
          <w:rFonts w:cs="Arial"/>
          <w:sz w:val="20"/>
        </w:rPr>
      </w:pPr>
    </w:p>
    <w:p w14:paraId="5149BC2D" w14:textId="77777777" w:rsidR="00DB0A8A" w:rsidRPr="00834F11" w:rsidRDefault="00DB0A8A" w:rsidP="00D9289C">
      <w:pPr>
        <w:numPr>
          <w:ilvl w:val="1"/>
          <w:numId w:val="1"/>
        </w:numPr>
        <w:tabs>
          <w:tab w:val="clear" w:pos="2160"/>
          <w:tab w:val="num" w:pos="567"/>
        </w:tabs>
        <w:adjustRightInd w:val="0"/>
        <w:ind w:hanging="2160"/>
        <w:jc w:val="both"/>
        <w:rPr>
          <w:rFonts w:eastAsia="Calibri" w:cs="Arial"/>
          <w:b/>
          <w:sz w:val="20"/>
        </w:rPr>
      </w:pPr>
      <w:r w:rsidRPr="00834F11">
        <w:rPr>
          <w:rFonts w:eastAsia="Calibri" w:cs="Arial"/>
          <w:b/>
          <w:sz w:val="20"/>
        </w:rPr>
        <w:t>UPRAVLJANJE RIZICIMA</w:t>
      </w:r>
    </w:p>
    <w:p w14:paraId="14C4EB75" w14:textId="77777777" w:rsidR="00DB0A8A" w:rsidRPr="00834F11" w:rsidRDefault="00DB0A8A" w:rsidP="00D9289C">
      <w:pPr>
        <w:jc w:val="both"/>
        <w:rPr>
          <w:rFonts w:cs="Arial"/>
          <w:sz w:val="20"/>
        </w:rPr>
      </w:pPr>
      <w:r w:rsidRPr="00834F11">
        <w:rPr>
          <w:rFonts w:cs="Arial"/>
          <w:sz w:val="20"/>
        </w:rPr>
        <w:t>Uprava sa voditeljima službi sektora, na temelju opisa procesa, definiranih zahtjeva zainteresiranih strana, provodi analizu rizika za sve utvrđene procese, te utvrđuje mjere povezane s rizicima koje mogu biti: izbjegavanje rizika, preuzimanje rizika kako se ne bi propustila prilika, uklanjanje izvora rizika, mijenjanje vjerojatnosti za rizik ili njegovih posljedica, dijeljenje rizika ili zadržavanje rizika nakon odlučivanja, uz sagledavanje problema.</w:t>
      </w:r>
    </w:p>
    <w:p w14:paraId="023CA41E" w14:textId="77777777" w:rsidR="008C7BED" w:rsidRPr="00834F11" w:rsidRDefault="008C7BED" w:rsidP="00D9289C">
      <w:pPr>
        <w:jc w:val="both"/>
        <w:rPr>
          <w:rFonts w:cs="Arial"/>
          <w:sz w:val="20"/>
        </w:rPr>
      </w:pPr>
    </w:p>
    <w:p w14:paraId="796145F4" w14:textId="2B60EFE7" w:rsidR="00DB0A8A" w:rsidRPr="00834F11" w:rsidRDefault="00DB0A8A" w:rsidP="00D9289C">
      <w:pPr>
        <w:jc w:val="both"/>
        <w:rPr>
          <w:rFonts w:cs="Arial"/>
          <w:sz w:val="20"/>
        </w:rPr>
      </w:pPr>
      <w:r w:rsidRPr="00834F11">
        <w:rPr>
          <w:rFonts w:cs="Arial"/>
          <w:sz w:val="20"/>
        </w:rPr>
        <w:t>Rizici vezani za sigurnost hrane definirani su kroz HACCP sustav odnosno prema PO-SU-10 (H</w:t>
      </w:r>
      <w:r w:rsidR="00285928" w:rsidRPr="00834F11">
        <w:rPr>
          <w:rFonts w:cs="Arial"/>
          <w:sz w:val="20"/>
        </w:rPr>
        <w:t xml:space="preserve">ACCP </w:t>
      </w:r>
      <w:r w:rsidR="001E0663" w:rsidRPr="00834F11">
        <w:rPr>
          <w:rFonts w:cs="Arial"/>
          <w:sz w:val="20"/>
        </w:rPr>
        <w:t>plan</w:t>
      </w:r>
      <w:r w:rsidRPr="00834F11">
        <w:rPr>
          <w:rFonts w:cs="Arial"/>
          <w:sz w:val="20"/>
        </w:rPr>
        <w:t xml:space="preserve">), te rizici vezani na obranu proizvoda (FOOD defence) prema  </w:t>
      </w:r>
      <w:r w:rsidR="006544E3" w:rsidRPr="00834F11">
        <w:rPr>
          <w:rFonts w:cs="Arial"/>
          <w:sz w:val="20"/>
        </w:rPr>
        <w:t>RU-SU-03</w:t>
      </w:r>
      <w:r w:rsidR="00322713" w:rsidRPr="00834F11">
        <w:rPr>
          <w:rFonts w:cs="Arial"/>
          <w:sz w:val="20"/>
        </w:rPr>
        <w:t>, odnosno stavke zahtijevane prema IFS normi u OB-IFS-01 (Analiza rizika i upravljanje rizicima).</w:t>
      </w:r>
    </w:p>
    <w:p w14:paraId="23C59435" w14:textId="77777777" w:rsidR="006544E3" w:rsidRPr="00834F11" w:rsidRDefault="006544E3" w:rsidP="00D9289C">
      <w:pPr>
        <w:jc w:val="both"/>
        <w:rPr>
          <w:rFonts w:cs="Arial"/>
          <w:sz w:val="20"/>
        </w:rPr>
      </w:pPr>
    </w:p>
    <w:p w14:paraId="6DD384C0" w14:textId="77777777" w:rsidR="00DB0A8A" w:rsidRPr="00834F11" w:rsidRDefault="00DB0A8A" w:rsidP="00D9289C">
      <w:pPr>
        <w:jc w:val="both"/>
        <w:rPr>
          <w:rFonts w:cs="Arial"/>
          <w:sz w:val="20"/>
        </w:rPr>
      </w:pPr>
      <w:r w:rsidRPr="00834F11">
        <w:rPr>
          <w:rFonts w:cs="Arial"/>
          <w:sz w:val="20"/>
        </w:rPr>
        <w:t xml:space="preserve">Rizik je kalkulirana prognoza moguće štete, odnosno u negativnom slučaju prognoza gubitka ili opasnosti, a stupanj rizika je funkcija vjerojatnosti i opasnosti od štete. </w:t>
      </w:r>
    </w:p>
    <w:p w14:paraId="6698AF3C" w14:textId="77777777" w:rsidR="00DB0A8A" w:rsidRPr="00834F11" w:rsidRDefault="00DB0A8A" w:rsidP="00D9289C">
      <w:pPr>
        <w:jc w:val="both"/>
        <w:rPr>
          <w:rFonts w:cs="Arial"/>
          <w:sz w:val="20"/>
        </w:rPr>
      </w:pPr>
    </w:p>
    <w:p w14:paraId="0A8789CF" w14:textId="2AA4C311" w:rsidR="00DB0A8A" w:rsidRPr="00834F11" w:rsidRDefault="00DB0A8A" w:rsidP="00D9289C">
      <w:pPr>
        <w:jc w:val="both"/>
        <w:rPr>
          <w:rFonts w:cs="Arial"/>
          <w:sz w:val="20"/>
        </w:rPr>
      </w:pPr>
      <w:r w:rsidRPr="00834F11">
        <w:rPr>
          <w:rFonts w:cs="Arial"/>
          <w:sz w:val="20"/>
        </w:rPr>
        <w:t>Rizici se procjenjuju u svim organizacijskim jedinicama</w:t>
      </w:r>
      <w:r w:rsidR="008C7BED" w:rsidRPr="00834F11">
        <w:rPr>
          <w:rFonts w:cs="Arial"/>
          <w:sz w:val="20"/>
        </w:rPr>
        <w:t xml:space="preserve"> </w:t>
      </w:r>
      <w:r w:rsidRPr="00834F11">
        <w:rPr>
          <w:rFonts w:cs="Arial"/>
          <w:sz w:val="20"/>
        </w:rPr>
        <w:t>te prilikom promjena te svim bitnim situacijama za organizaciju, koje mogu odrediti budućnost poslovanja i kvalitetu odvijanja poslovnih procesa. Glavni cilj upravljanja rizicima je svesti ih na prihvatljivu mjeru, a kroz određene postupke koji će umanjiti vjerojatnost pojave rizika.</w:t>
      </w:r>
    </w:p>
    <w:p w14:paraId="0CBE8B17" w14:textId="77777777" w:rsidR="00DB0A8A" w:rsidRPr="00834F11" w:rsidRDefault="00DB0A8A" w:rsidP="00D9289C">
      <w:pPr>
        <w:jc w:val="both"/>
        <w:rPr>
          <w:rFonts w:cs="Arial"/>
          <w:sz w:val="20"/>
        </w:rPr>
      </w:pPr>
    </w:p>
    <w:p w14:paraId="04EAB060" w14:textId="77777777" w:rsidR="00DB0A8A" w:rsidRPr="00834F11" w:rsidRDefault="00DB0A8A" w:rsidP="00D9289C">
      <w:pPr>
        <w:jc w:val="both"/>
        <w:rPr>
          <w:rFonts w:cs="Arial"/>
          <w:sz w:val="20"/>
        </w:rPr>
      </w:pPr>
      <w:r w:rsidRPr="00834F11">
        <w:rPr>
          <w:rFonts w:cs="Arial"/>
          <w:sz w:val="20"/>
        </w:rPr>
        <w:t>Upravljanje rizicima se temelji na sljedećim principima:</w:t>
      </w:r>
    </w:p>
    <w:p w14:paraId="3A7CFD23" w14:textId="77777777" w:rsidR="00DB0A8A" w:rsidRPr="00834F11" w:rsidRDefault="00DB0A8A" w:rsidP="00D9289C">
      <w:pPr>
        <w:jc w:val="both"/>
        <w:rPr>
          <w:rFonts w:cs="Arial"/>
          <w:sz w:val="20"/>
        </w:rPr>
      </w:pPr>
      <w:r w:rsidRPr="00834F11">
        <w:rPr>
          <w:rFonts w:cs="Arial"/>
          <w:sz w:val="20"/>
        </w:rPr>
        <w:t>a) Upravljanjem rizicima nastojimo stvarati dodanu vrijednost,</w:t>
      </w:r>
    </w:p>
    <w:p w14:paraId="6807EC46" w14:textId="77777777" w:rsidR="00DB0A8A" w:rsidRPr="00834F11" w:rsidRDefault="00DB0A8A" w:rsidP="00D9289C">
      <w:pPr>
        <w:jc w:val="both"/>
        <w:rPr>
          <w:rFonts w:cs="Arial"/>
          <w:sz w:val="20"/>
        </w:rPr>
      </w:pPr>
      <w:r w:rsidRPr="00834F11">
        <w:rPr>
          <w:rFonts w:cs="Arial"/>
          <w:sz w:val="20"/>
        </w:rPr>
        <w:t>b) Upravljanje rizicima je integralni dio organizacijskih procesa,</w:t>
      </w:r>
    </w:p>
    <w:p w14:paraId="13001AFD" w14:textId="77777777" w:rsidR="00DB0A8A" w:rsidRPr="00834F11" w:rsidRDefault="00DB0A8A" w:rsidP="00D9289C">
      <w:pPr>
        <w:jc w:val="both"/>
        <w:rPr>
          <w:rFonts w:cs="Arial"/>
          <w:sz w:val="20"/>
        </w:rPr>
      </w:pPr>
      <w:r w:rsidRPr="00834F11">
        <w:rPr>
          <w:rFonts w:cs="Arial"/>
          <w:sz w:val="20"/>
        </w:rPr>
        <w:t>c) Upravljanje rizicima je dio procesa donošenja odluka,</w:t>
      </w:r>
    </w:p>
    <w:p w14:paraId="0618226C" w14:textId="77777777" w:rsidR="00DB0A8A" w:rsidRPr="00834F11" w:rsidRDefault="00DB0A8A" w:rsidP="00D9289C">
      <w:pPr>
        <w:jc w:val="both"/>
        <w:rPr>
          <w:rFonts w:cs="Arial"/>
          <w:sz w:val="20"/>
        </w:rPr>
      </w:pPr>
      <w:r w:rsidRPr="00834F11">
        <w:rPr>
          <w:rFonts w:cs="Arial"/>
          <w:sz w:val="20"/>
        </w:rPr>
        <w:t>d) Upravljanje rizicima se eksplicitno odnosi na sve vrste neizvjesnosti u poslovanju,</w:t>
      </w:r>
    </w:p>
    <w:p w14:paraId="66ED39C9" w14:textId="77777777" w:rsidR="00DB0A8A" w:rsidRPr="00834F11" w:rsidRDefault="00DB0A8A" w:rsidP="00D9289C">
      <w:pPr>
        <w:jc w:val="both"/>
        <w:rPr>
          <w:rFonts w:cs="Arial"/>
          <w:sz w:val="20"/>
        </w:rPr>
      </w:pPr>
      <w:r w:rsidRPr="00834F11">
        <w:rPr>
          <w:rFonts w:cs="Arial"/>
          <w:sz w:val="20"/>
        </w:rPr>
        <w:t>e) Upravljanje rizicima su sustavne, strukturirane i pravovremene aktivnosti svih voditelja službi/sektora,</w:t>
      </w:r>
    </w:p>
    <w:p w14:paraId="35CEC8D5" w14:textId="77777777" w:rsidR="00DB0A8A" w:rsidRPr="00834F11" w:rsidRDefault="00DB0A8A" w:rsidP="00D9289C">
      <w:pPr>
        <w:jc w:val="both"/>
        <w:rPr>
          <w:rFonts w:cs="Arial"/>
          <w:sz w:val="20"/>
        </w:rPr>
      </w:pPr>
      <w:r w:rsidRPr="00834F11">
        <w:rPr>
          <w:rFonts w:cs="Arial"/>
          <w:sz w:val="20"/>
        </w:rPr>
        <w:t>f) Upravljanje rizicima temelji se na najbolje dostupnim informacijama (činjenicama),</w:t>
      </w:r>
    </w:p>
    <w:p w14:paraId="58FB7409" w14:textId="77777777" w:rsidR="00DB0A8A" w:rsidRPr="00834F11" w:rsidRDefault="00DB0A8A" w:rsidP="00D9289C">
      <w:pPr>
        <w:jc w:val="both"/>
        <w:rPr>
          <w:rFonts w:cs="Arial"/>
          <w:sz w:val="20"/>
        </w:rPr>
      </w:pPr>
      <w:r w:rsidRPr="00834F11">
        <w:rPr>
          <w:rFonts w:cs="Arial"/>
          <w:sz w:val="20"/>
        </w:rPr>
        <w:t>g) Upravljanje rizicima se uvijek prilagođava konkretnim situacijama,</w:t>
      </w:r>
    </w:p>
    <w:p w14:paraId="419F633F" w14:textId="77777777" w:rsidR="00DB0A8A" w:rsidRPr="00834F11" w:rsidRDefault="00DB0A8A" w:rsidP="00D9289C">
      <w:pPr>
        <w:jc w:val="both"/>
        <w:rPr>
          <w:rFonts w:cs="Arial"/>
          <w:sz w:val="20"/>
        </w:rPr>
      </w:pPr>
      <w:r w:rsidRPr="00834F11">
        <w:rPr>
          <w:rFonts w:cs="Arial"/>
          <w:sz w:val="20"/>
        </w:rPr>
        <w:t>h) Upravljanje rizicima uzima u obzir ljudske potencijale s kojima raspolažemo i</w:t>
      </w:r>
      <w:r w:rsidR="004C1EFA" w:rsidRPr="00834F11">
        <w:rPr>
          <w:rFonts w:cs="Arial"/>
          <w:sz w:val="20"/>
        </w:rPr>
        <w:t xml:space="preserve"> </w:t>
      </w:r>
      <w:r w:rsidRPr="00834F11">
        <w:rPr>
          <w:rFonts w:cs="Arial"/>
          <w:sz w:val="20"/>
        </w:rPr>
        <w:t>kulturne čimbenike,</w:t>
      </w:r>
    </w:p>
    <w:p w14:paraId="1AAF49E5" w14:textId="77777777" w:rsidR="00DB0A8A" w:rsidRPr="00834F11" w:rsidRDefault="00DB0A8A" w:rsidP="00D9289C">
      <w:pPr>
        <w:jc w:val="both"/>
        <w:rPr>
          <w:rFonts w:cs="Arial"/>
          <w:sz w:val="20"/>
        </w:rPr>
      </w:pPr>
      <w:r w:rsidRPr="00834F11">
        <w:rPr>
          <w:rFonts w:cs="Arial"/>
          <w:sz w:val="20"/>
        </w:rPr>
        <w:t>i) Upravljanje rizicima je transparentno i uključivo,</w:t>
      </w:r>
    </w:p>
    <w:p w14:paraId="51B2A025" w14:textId="522BC4E7" w:rsidR="00DB0A8A" w:rsidRPr="00834F11" w:rsidRDefault="00DB0A8A" w:rsidP="00D9289C">
      <w:pPr>
        <w:jc w:val="both"/>
        <w:rPr>
          <w:rFonts w:cs="Arial"/>
          <w:sz w:val="20"/>
        </w:rPr>
      </w:pPr>
      <w:r w:rsidRPr="00834F11">
        <w:rPr>
          <w:rFonts w:cs="Arial"/>
          <w:sz w:val="20"/>
        </w:rPr>
        <w:t xml:space="preserve">j) Upravljanje rizicima je dinamično, ponovljivo i osjetljivo na promjene, </w:t>
      </w:r>
    </w:p>
    <w:p w14:paraId="4CB68FFF" w14:textId="61B75B05" w:rsidR="00DB0A8A" w:rsidRPr="00834F11" w:rsidRDefault="00DB0A8A" w:rsidP="00D9289C">
      <w:pPr>
        <w:jc w:val="both"/>
        <w:rPr>
          <w:rFonts w:cs="Arial"/>
          <w:sz w:val="20"/>
        </w:rPr>
      </w:pPr>
      <w:r w:rsidRPr="00834F11">
        <w:rPr>
          <w:rFonts w:cs="Arial"/>
          <w:sz w:val="20"/>
        </w:rPr>
        <w:t>k) Upravljanje rizicima olakšava kontinuirano poboljšanje i unapređenje proizvoda, procesa i organizacije</w:t>
      </w:r>
      <w:r w:rsidR="008C7BED" w:rsidRPr="00834F11">
        <w:rPr>
          <w:rFonts w:cs="Arial"/>
          <w:sz w:val="20"/>
        </w:rPr>
        <w:t>,</w:t>
      </w:r>
    </w:p>
    <w:p w14:paraId="55097507" w14:textId="72B79443" w:rsidR="008C7BED" w:rsidRPr="00830F74" w:rsidRDefault="008C7BED" w:rsidP="00D9289C">
      <w:pPr>
        <w:jc w:val="both"/>
        <w:rPr>
          <w:rFonts w:cs="Arial"/>
          <w:i/>
          <w:iCs/>
          <w:sz w:val="20"/>
        </w:rPr>
      </w:pPr>
      <w:r w:rsidRPr="00830F74">
        <w:rPr>
          <w:rFonts w:cs="Arial"/>
          <w:i/>
          <w:iCs/>
          <w:sz w:val="20"/>
        </w:rPr>
        <w:t>l) Upravljanje rizicima omogućuje kontinuirano poboljšanje energetske performanse.</w:t>
      </w:r>
    </w:p>
    <w:p w14:paraId="12BEFA56" w14:textId="77777777" w:rsidR="00C009EA" w:rsidRPr="00834F11" w:rsidRDefault="00C009EA" w:rsidP="00D9289C">
      <w:pPr>
        <w:jc w:val="both"/>
        <w:rPr>
          <w:rFonts w:cs="Arial"/>
          <w:szCs w:val="22"/>
        </w:rPr>
      </w:pPr>
    </w:p>
    <w:p w14:paraId="439680C5" w14:textId="77777777" w:rsidR="00C009EA" w:rsidRPr="00834F11" w:rsidRDefault="00C009EA" w:rsidP="00D9289C">
      <w:pPr>
        <w:jc w:val="both"/>
        <w:rPr>
          <w:rFonts w:cs="Arial"/>
          <w:sz w:val="20"/>
        </w:rPr>
      </w:pPr>
      <w:r w:rsidRPr="00834F11">
        <w:rPr>
          <w:rFonts w:cs="Arial"/>
          <w:sz w:val="20"/>
        </w:rPr>
        <w:t>Rizici i prilike, procjena i utvrđene mjere definiraju se u Zainteresirane strane i upravljanje rizicima (OB-SU-12).</w:t>
      </w:r>
    </w:p>
    <w:p w14:paraId="7FD6E300" w14:textId="77777777" w:rsidR="00DB0A8A" w:rsidRPr="00834F11" w:rsidRDefault="00DB0A8A" w:rsidP="00D9289C">
      <w:pPr>
        <w:adjustRightInd w:val="0"/>
        <w:jc w:val="both"/>
        <w:rPr>
          <w:rFonts w:eastAsia="Calibri"/>
          <w:color w:val="FF0000"/>
          <w:sz w:val="23"/>
          <w:szCs w:val="23"/>
        </w:rPr>
      </w:pPr>
    </w:p>
    <w:p w14:paraId="71CF643E" w14:textId="77777777" w:rsidR="00BD160E" w:rsidRPr="00834F11" w:rsidRDefault="004C1EFA" w:rsidP="00D9289C">
      <w:pPr>
        <w:numPr>
          <w:ilvl w:val="2"/>
          <w:numId w:val="1"/>
        </w:numPr>
        <w:tabs>
          <w:tab w:val="clear" w:pos="2160"/>
          <w:tab w:val="num" w:pos="567"/>
        </w:tabs>
        <w:ind w:hanging="2160"/>
        <w:jc w:val="both"/>
        <w:rPr>
          <w:rFonts w:cs="Arial"/>
          <w:b/>
          <w:sz w:val="20"/>
        </w:rPr>
      </w:pPr>
      <w:r w:rsidRPr="00834F11">
        <w:rPr>
          <w:rFonts w:cs="Arial"/>
          <w:b/>
          <w:sz w:val="20"/>
        </w:rPr>
        <w:t>Procjena rizika</w:t>
      </w:r>
    </w:p>
    <w:p w14:paraId="3C45986F" w14:textId="77777777" w:rsidR="004C1EFA" w:rsidRPr="00834F11" w:rsidRDefault="004C1EFA" w:rsidP="00D9289C">
      <w:pPr>
        <w:jc w:val="both"/>
        <w:rPr>
          <w:rFonts w:cs="Arial"/>
          <w:sz w:val="20"/>
        </w:rPr>
      </w:pPr>
      <w:r w:rsidRPr="00834F11">
        <w:rPr>
          <w:rFonts w:cs="Arial"/>
          <w:sz w:val="20"/>
        </w:rPr>
        <w:t xml:space="preserve">Procjena rizika uključuje identifikaciju, analizu i vrednovanje rizika. </w:t>
      </w:r>
    </w:p>
    <w:p w14:paraId="54F5A22E" w14:textId="77777777" w:rsidR="004C1EFA" w:rsidRPr="00834F11" w:rsidRDefault="004C1EFA" w:rsidP="00D9289C">
      <w:pPr>
        <w:jc w:val="both"/>
        <w:rPr>
          <w:rFonts w:cs="Arial"/>
          <w:sz w:val="20"/>
        </w:rPr>
      </w:pPr>
    </w:p>
    <w:p w14:paraId="6E5B9FF7" w14:textId="6AC76D76" w:rsidR="004C1EFA" w:rsidRPr="00834F11" w:rsidRDefault="004C1EFA" w:rsidP="00D9289C">
      <w:pPr>
        <w:jc w:val="both"/>
        <w:rPr>
          <w:rFonts w:cs="Arial"/>
          <w:sz w:val="20"/>
        </w:rPr>
      </w:pPr>
      <w:r w:rsidRPr="00834F11">
        <w:rPr>
          <w:rFonts w:cs="Arial"/>
          <w:sz w:val="20"/>
        </w:rPr>
        <w:t xml:space="preserve">Identifikacija rizika predstavlja prvu fazu u ukupnom procesu upravljanja rizikom. Prilikom identifikacije utvrđuju se izvori rizika, uzroci rizika, te moguće posljedice. Cilj identifikacije rizika je stvoriti opsežnu listu rizika koji bi mogli imati utjecaj na </w:t>
      </w:r>
      <w:r w:rsidR="008B5B4F" w:rsidRPr="00834F11">
        <w:rPr>
          <w:rFonts w:cs="Arial"/>
          <w:sz w:val="20"/>
        </w:rPr>
        <w:t>tvrtku</w:t>
      </w:r>
      <w:r w:rsidRPr="00834F11">
        <w:rPr>
          <w:rFonts w:cs="Arial"/>
          <w:sz w:val="20"/>
        </w:rPr>
        <w:t xml:space="preserve"> i na ostvarenje planiranih aktivnosti</w:t>
      </w:r>
      <w:r w:rsidR="0048150B" w:rsidRPr="00834F11">
        <w:rPr>
          <w:rFonts w:cs="Arial"/>
          <w:sz w:val="20"/>
        </w:rPr>
        <w:t>.</w:t>
      </w:r>
    </w:p>
    <w:p w14:paraId="4C14BE17" w14:textId="77777777" w:rsidR="004C1EFA" w:rsidRPr="00834F11" w:rsidRDefault="004C1EFA" w:rsidP="00D9289C">
      <w:pPr>
        <w:jc w:val="both"/>
        <w:rPr>
          <w:rFonts w:cs="Arial"/>
          <w:sz w:val="20"/>
        </w:rPr>
      </w:pPr>
      <w:r w:rsidRPr="00834F11">
        <w:rPr>
          <w:rFonts w:cs="Arial"/>
          <w:sz w:val="20"/>
        </w:rPr>
        <w:t xml:space="preserve">Za identifikaciju rizika koristite se podaci dobiveni ispitivanjima i analizama, matematičkim/statističkom analizama, </w:t>
      </w:r>
      <w:r w:rsidR="00EA34FF" w:rsidRPr="00834F11">
        <w:rPr>
          <w:rFonts w:cs="Arial"/>
          <w:sz w:val="20"/>
        </w:rPr>
        <w:t>intervjuima</w:t>
      </w:r>
      <w:r w:rsidRPr="00834F11">
        <w:rPr>
          <w:rFonts w:cs="Arial"/>
          <w:sz w:val="20"/>
        </w:rPr>
        <w:t>, a važno je da su podaci točni i aktualni.</w:t>
      </w:r>
    </w:p>
    <w:p w14:paraId="52CD5FD5" w14:textId="77777777" w:rsidR="004C1EFA" w:rsidRPr="00834F11" w:rsidRDefault="004C1EFA" w:rsidP="00D9289C">
      <w:pPr>
        <w:jc w:val="both"/>
        <w:rPr>
          <w:rFonts w:cs="Arial"/>
          <w:sz w:val="20"/>
        </w:rPr>
      </w:pPr>
    </w:p>
    <w:p w14:paraId="2BE2424D" w14:textId="77777777" w:rsidR="004C1EFA" w:rsidRPr="00834F11" w:rsidRDefault="004C1EFA" w:rsidP="00D9289C">
      <w:pPr>
        <w:jc w:val="both"/>
        <w:rPr>
          <w:rFonts w:cs="Arial"/>
          <w:sz w:val="20"/>
        </w:rPr>
      </w:pPr>
      <w:r w:rsidRPr="00834F11">
        <w:rPr>
          <w:rFonts w:cs="Arial"/>
          <w:sz w:val="20"/>
        </w:rPr>
        <w:t>Rizici mogu imati pozitivne i negativne utjecaje na organizaciju budući da mogu ubrzati, umanjiti, ugroziti ili olakšati ostvarenje ciljeva.  Identifikacija rizika mora proučiti i izravne posljedice koje pojedini rizici nose. Vrlo je bitno da se u obzir uzme široka lepeza posljedica, kako bi se mogli izraditi planovi za sanaciju svih ostvarenih negativnih rizika. Prilikom identifikacije rizika preporuča se uključivanje ljudi s velikim iskustvom u poslu koji se analizira.</w:t>
      </w:r>
    </w:p>
    <w:p w14:paraId="2216483C" w14:textId="77777777" w:rsidR="004C1EFA" w:rsidRPr="00834F11" w:rsidRDefault="004C1EFA" w:rsidP="00D9289C">
      <w:pPr>
        <w:jc w:val="both"/>
        <w:rPr>
          <w:rFonts w:cs="Arial"/>
          <w:sz w:val="20"/>
        </w:rPr>
      </w:pPr>
    </w:p>
    <w:p w14:paraId="4BDDEB7B" w14:textId="0EC48758" w:rsidR="00EA34FF" w:rsidRPr="00834F11" w:rsidRDefault="004C1EFA" w:rsidP="00D9289C">
      <w:pPr>
        <w:jc w:val="both"/>
        <w:rPr>
          <w:rFonts w:cs="Arial"/>
          <w:sz w:val="20"/>
        </w:rPr>
      </w:pPr>
      <w:r w:rsidRPr="00834F11">
        <w:rPr>
          <w:rFonts w:cs="Arial"/>
          <w:sz w:val="20"/>
        </w:rPr>
        <w:t xml:space="preserve">Prilikom analize </w:t>
      </w:r>
      <w:r w:rsidR="00EA34FF" w:rsidRPr="00834F11">
        <w:rPr>
          <w:rFonts w:cs="Arial"/>
          <w:sz w:val="20"/>
        </w:rPr>
        <w:t xml:space="preserve">rizika, na temelju dosadašnjeg iskustva, stvarne opasnosti od pojave rizika, posljedica i mogućnosti djelovanja na rizik, </w:t>
      </w:r>
      <w:r w:rsidRPr="00834F11">
        <w:rPr>
          <w:rFonts w:cs="Arial"/>
          <w:sz w:val="20"/>
        </w:rPr>
        <w:t>procjenjuje se vjerojatnost događanja</w:t>
      </w:r>
      <w:r w:rsidR="00EA34FF" w:rsidRPr="00834F11">
        <w:rPr>
          <w:rFonts w:cs="Arial"/>
          <w:sz w:val="20"/>
        </w:rPr>
        <w:t xml:space="preserve"> rizika</w:t>
      </w:r>
      <w:r w:rsidRPr="00834F11">
        <w:rPr>
          <w:rFonts w:cs="Arial"/>
          <w:sz w:val="20"/>
        </w:rPr>
        <w:t xml:space="preserve"> i procjene posljedice nakon nastanka rizičnog</w:t>
      </w:r>
      <w:r w:rsidR="00EA34FF" w:rsidRPr="00834F11">
        <w:rPr>
          <w:rFonts w:cs="Arial"/>
          <w:sz w:val="20"/>
        </w:rPr>
        <w:t xml:space="preserve"> </w:t>
      </w:r>
      <w:r w:rsidRPr="00834F11">
        <w:rPr>
          <w:rFonts w:cs="Arial"/>
          <w:sz w:val="20"/>
        </w:rPr>
        <w:t>događaja</w:t>
      </w:r>
      <w:r w:rsidR="00EA34FF" w:rsidRPr="00834F11">
        <w:rPr>
          <w:rFonts w:cs="Arial"/>
          <w:sz w:val="20"/>
        </w:rPr>
        <w:t xml:space="preserve"> kao</w:t>
      </w:r>
      <w:r w:rsidRPr="00834F11">
        <w:rPr>
          <w:rFonts w:cs="Arial"/>
          <w:sz w:val="20"/>
        </w:rPr>
        <w:t xml:space="preserve"> potencijalna veličin</w:t>
      </w:r>
      <w:r w:rsidR="00620BFA" w:rsidRPr="00834F11">
        <w:rPr>
          <w:rFonts w:cs="Arial"/>
          <w:sz w:val="20"/>
        </w:rPr>
        <w:t>a</w:t>
      </w:r>
      <w:r w:rsidRPr="00834F11">
        <w:rPr>
          <w:rFonts w:cs="Arial"/>
          <w:sz w:val="20"/>
        </w:rPr>
        <w:t xml:space="preserve"> gubitka i vjer</w:t>
      </w:r>
      <w:r w:rsidR="00EA34FF" w:rsidRPr="00834F11">
        <w:rPr>
          <w:rFonts w:cs="Arial"/>
          <w:sz w:val="20"/>
        </w:rPr>
        <w:t>ojatnosti njegova pojavljivanja, odnosno definira se razina rizika na sljedeći način:</w:t>
      </w:r>
    </w:p>
    <w:p w14:paraId="2488F3B1" w14:textId="6D562C85" w:rsidR="00E86363" w:rsidRPr="00834F11" w:rsidRDefault="00E86363" w:rsidP="00D61087">
      <w:pPr>
        <w:rPr>
          <w:rFonts w:cs="Arial"/>
          <w:sz w:val="20"/>
        </w:rPr>
      </w:pPr>
    </w:p>
    <w:p w14:paraId="38C551C9" w14:textId="77777777" w:rsidR="00E86363" w:rsidRPr="00834F11" w:rsidRDefault="00E86363" w:rsidP="00D61087">
      <w:pPr>
        <w:rPr>
          <w:rFonts w:cs="Arial"/>
          <w:sz w:val="20"/>
        </w:rPr>
      </w:pPr>
    </w:p>
    <w:p w14:paraId="7B9C0A0C" w14:textId="77777777" w:rsidR="00E86363" w:rsidRPr="00834F11" w:rsidRDefault="00E86363" w:rsidP="00D61087">
      <w:pPr>
        <w:rPr>
          <w:rFonts w:cs="Arial"/>
          <w:b/>
          <w:bCs/>
          <w:sz w:val="20"/>
          <w:lang w:val="en-GB"/>
        </w:rPr>
      </w:pPr>
      <w:r w:rsidRPr="00834F11">
        <w:rPr>
          <w:rFonts w:cs="Arial"/>
          <w:b/>
          <w:bCs/>
          <w:sz w:val="20"/>
          <w:lang w:val="en-GB"/>
        </w:rPr>
        <w:lastRenderedPageBreak/>
        <w:t>VJEROJATNOST x POSLJEDICA= RIZIK</w:t>
      </w:r>
    </w:p>
    <w:p w14:paraId="59CFCF20" w14:textId="77777777" w:rsidR="00E86363" w:rsidRPr="00834F11" w:rsidRDefault="00E86363" w:rsidP="00D61087">
      <w:pPr>
        <w:rPr>
          <w:rFonts w:cs="Arial"/>
          <w:sz w:val="20"/>
          <w:lang w:val="en-GB"/>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959"/>
        <w:gridCol w:w="2693"/>
        <w:gridCol w:w="851"/>
        <w:gridCol w:w="907"/>
        <w:gridCol w:w="907"/>
        <w:gridCol w:w="848"/>
        <w:gridCol w:w="848"/>
        <w:gridCol w:w="848"/>
      </w:tblGrid>
      <w:tr w:rsidR="00896834" w:rsidRPr="00834F11" w14:paraId="0798BC5D" w14:textId="77777777" w:rsidTr="00A419F9">
        <w:trPr>
          <w:trHeight w:val="578"/>
        </w:trPr>
        <w:tc>
          <w:tcPr>
            <w:tcW w:w="9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hideMark/>
          </w:tcPr>
          <w:p w14:paraId="1449E8E0" w14:textId="77777777" w:rsidR="00E86363" w:rsidRPr="00834F11" w:rsidRDefault="00E86363" w:rsidP="00896834">
            <w:pPr>
              <w:jc w:val="center"/>
              <w:rPr>
                <w:rFonts w:cs="Arial"/>
                <w:b/>
                <w:bCs/>
                <w:sz w:val="20"/>
                <w:lang w:val="en-GB"/>
              </w:rPr>
            </w:pPr>
            <w:r w:rsidRPr="00834F11">
              <w:rPr>
                <w:rFonts w:cs="Arial"/>
                <w:b/>
                <w:bCs/>
                <w:sz w:val="20"/>
                <w:lang w:val="en-GB"/>
              </w:rPr>
              <w:t>POSLJEDICA</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7A294" w14:textId="77777777" w:rsidR="00E86363" w:rsidRPr="00834F11" w:rsidRDefault="00E86363" w:rsidP="00D61087">
            <w:pPr>
              <w:rPr>
                <w:rFonts w:cs="Arial"/>
                <w:sz w:val="20"/>
                <w:lang w:val="en-GB"/>
              </w:rPr>
            </w:pPr>
            <w:r w:rsidRPr="00834F11">
              <w:rPr>
                <w:rFonts w:cs="Arial"/>
                <w:sz w:val="20"/>
                <w:lang w:val="en-GB"/>
              </w:rPr>
              <w:t>        EKSTREMNA</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F35C" w14:textId="77777777" w:rsidR="00E86363" w:rsidRPr="00834F11" w:rsidRDefault="00E86363" w:rsidP="00D61087">
            <w:pPr>
              <w:rPr>
                <w:rFonts w:cs="Arial"/>
                <w:b/>
                <w:bCs/>
                <w:sz w:val="20"/>
                <w:lang w:val="en-GB"/>
              </w:rPr>
            </w:pPr>
            <w:r w:rsidRPr="00834F11">
              <w:rPr>
                <w:rFonts w:cs="Arial"/>
                <w:b/>
                <w:bCs/>
                <w:sz w:val="20"/>
                <w:lang w:val="en-GB"/>
              </w:rPr>
              <w:t>5</w:t>
            </w:r>
          </w:p>
        </w:tc>
        <w:tc>
          <w:tcPr>
            <w:tcW w:w="9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90A55" w14:textId="77777777" w:rsidR="00E86363" w:rsidRPr="00834F11" w:rsidRDefault="00E86363" w:rsidP="00D61087">
            <w:pPr>
              <w:rPr>
                <w:rFonts w:cs="Arial"/>
                <w:sz w:val="20"/>
                <w:lang w:val="en-GB"/>
              </w:rPr>
            </w:pPr>
            <w:r w:rsidRPr="00834F11">
              <w:rPr>
                <w:rFonts w:cs="Arial"/>
                <w:sz w:val="20"/>
                <w:lang w:val="en-GB"/>
              </w:rPr>
              <w:t>M</w:t>
            </w:r>
          </w:p>
        </w:tc>
        <w:tc>
          <w:tcPr>
            <w:tcW w:w="9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E26BD" w14:textId="77777777" w:rsidR="00E86363" w:rsidRPr="00834F11" w:rsidRDefault="00E86363" w:rsidP="00D61087">
            <w:pPr>
              <w:rPr>
                <w:rFonts w:cs="Arial"/>
                <w:sz w:val="20"/>
                <w:lang w:val="en-GB"/>
              </w:rPr>
            </w:pPr>
            <w:r w:rsidRPr="00834F11">
              <w:rPr>
                <w:rFonts w:cs="Arial"/>
                <w:sz w:val="20"/>
                <w:lang w:val="en-GB"/>
              </w:rPr>
              <w:t>S</w:t>
            </w:r>
          </w:p>
        </w:tc>
        <w:tc>
          <w:tcPr>
            <w:tcW w:w="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0DB8E" w14:textId="77777777" w:rsidR="00E86363" w:rsidRPr="00834F11" w:rsidRDefault="00E86363" w:rsidP="00D61087">
            <w:pPr>
              <w:rPr>
                <w:rFonts w:cs="Arial"/>
                <w:sz w:val="20"/>
                <w:lang w:val="en-GB"/>
              </w:rPr>
            </w:pPr>
            <w:r w:rsidRPr="00834F11">
              <w:rPr>
                <w:rFonts w:cs="Arial"/>
                <w:sz w:val="20"/>
                <w:lang w:val="en-GB"/>
              </w:rPr>
              <w:t>V</w:t>
            </w:r>
          </w:p>
        </w:tc>
        <w:tc>
          <w:tcPr>
            <w:tcW w:w="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C3A796" w14:textId="77777777" w:rsidR="00E86363" w:rsidRPr="00834F11" w:rsidRDefault="00E86363" w:rsidP="00D61087">
            <w:pPr>
              <w:rPr>
                <w:rFonts w:cs="Arial"/>
                <w:sz w:val="20"/>
                <w:lang w:val="en-GB"/>
              </w:rPr>
            </w:pPr>
            <w:r w:rsidRPr="00834F11">
              <w:rPr>
                <w:rFonts w:cs="Arial"/>
                <w:sz w:val="20"/>
                <w:lang w:val="en-GB"/>
              </w:rPr>
              <w:t>V</w:t>
            </w:r>
          </w:p>
        </w:tc>
        <w:tc>
          <w:tcPr>
            <w:tcW w:w="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0E687" w14:textId="77777777" w:rsidR="00E86363" w:rsidRPr="00834F11" w:rsidRDefault="00E86363" w:rsidP="00D61087">
            <w:pPr>
              <w:rPr>
                <w:rFonts w:cs="Arial"/>
                <w:sz w:val="20"/>
                <w:lang w:val="en-GB"/>
              </w:rPr>
            </w:pPr>
            <w:r w:rsidRPr="00834F11">
              <w:rPr>
                <w:rFonts w:cs="Arial"/>
                <w:sz w:val="20"/>
                <w:lang w:val="en-GB"/>
              </w:rPr>
              <w:t>V</w:t>
            </w:r>
          </w:p>
        </w:tc>
      </w:tr>
      <w:tr w:rsidR="00896834" w:rsidRPr="00834F11" w14:paraId="261E760A" w14:textId="77777777" w:rsidTr="00A419F9">
        <w:trPr>
          <w:trHeight w:val="578"/>
        </w:trPr>
        <w:tc>
          <w:tcPr>
            <w:tcW w:w="959" w:type="dxa"/>
            <w:vMerge/>
            <w:tcBorders>
              <w:top w:val="single" w:sz="8" w:space="0" w:color="auto"/>
              <w:left w:val="single" w:sz="8" w:space="0" w:color="auto"/>
              <w:bottom w:val="single" w:sz="8" w:space="0" w:color="auto"/>
              <w:right w:val="single" w:sz="8" w:space="0" w:color="auto"/>
            </w:tcBorders>
            <w:vAlign w:val="center"/>
            <w:hideMark/>
          </w:tcPr>
          <w:p w14:paraId="097EDDCE" w14:textId="77777777" w:rsidR="00E86363" w:rsidRPr="00834F11" w:rsidRDefault="00E86363" w:rsidP="00D61087">
            <w:pPr>
              <w:rPr>
                <w:rFonts w:cs="Arial"/>
                <w:b/>
                <w:bCs/>
                <w:sz w:val="20"/>
                <w:lang w:val="en-GB"/>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30FED25" w14:textId="77777777" w:rsidR="00E86363" w:rsidRPr="00834F11" w:rsidRDefault="00E86363" w:rsidP="00D61087">
            <w:pPr>
              <w:rPr>
                <w:rFonts w:cs="Arial"/>
                <w:sz w:val="20"/>
                <w:lang w:val="en-GB"/>
              </w:rPr>
            </w:pPr>
            <w:r w:rsidRPr="00834F11">
              <w:rPr>
                <w:rFonts w:cs="Arial"/>
                <w:sz w:val="20"/>
                <w:lang w:val="en-GB"/>
              </w:rPr>
              <w:t>        VELIKA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5097EF4" w14:textId="77777777" w:rsidR="00E86363" w:rsidRPr="00834F11" w:rsidRDefault="00E86363" w:rsidP="00D61087">
            <w:pPr>
              <w:rPr>
                <w:rFonts w:cs="Arial"/>
                <w:b/>
                <w:bCs/>
                <w:sz w:val="20"/>
                <w:lang w:val="en-GB"/>
              </w:rPr>
            </w:pPr>
            <w:r w:rsidRPr="00834F11">
              <w:rPr>
                <w:rFonts w:cs="Arial"/>
                <w:b/>
                <w:bCs/>
                <w:sz w:val="20"/>
                <w:lang w:val="en-GB"/>
              </w:rPr>
              <w:t>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85840AB" w14:textId="77777777" w:rsidR="00E86363" w:rsidRPr="00834F11" w:rsidRDefault="00E86363" w:rsidP="00D61087">
            <w:pPr>
              <w:rPr>
                <w:rFonts w:cs="Arial"/>
                <w:sz w:val="20"/>
                <w:lang w:val="en-GB"/>
              </w:rPr>
            </w:pPr>
            <w:r w:rsidRPr="00834F11">
              <w:rPr>
                <w:rFonts w:cs="Arial"/>
                <w:sz w:val="20"/>
                <w:lang w:val="en-GB"/>
              </w:rPr>
              <w:t>M</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CB5947F" w14:textId="77777777" w:rsidR="00E86363" w:rsidRPr="00834F11" w:rsidRDefault="00E86363" w:rsidP="00D61087">
            <w:pPr>
              <w:rPr>
                <w:rFonts w:cs="Arial"/>
                <w:sz w:val="20"/>
                <w:lang w:val="en-GB"/>
              </w:rPr>
            </w:pPr>
            <w:r w:rsidRPr="00834F11">
              <w:rPr>
                <w:rFonts w:cs="Arial"/>
                <w:sz w:val="20"/>
                <w:lang w:val="en-GB"/>
              </w:rPr>
              <w:t>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1D0EA4B4" w14:textId="77777777" w:rsidR="00E86363" w:rsidRPr="00834F11" w:rsidRDefault="00E86363" w:rsidP="00D61087">
            <w:pPr>
              <w:rPr>
                <w:rFonts w:cs="Arial"/>
                <w:sz w:val="20"/>
                <w:lang w:val="en-GB"/>
              </w:rPr>
            </w:pPr>
            <w:r w:rsidRPr="00834F11">
              <w:rPr>
                <w:rFonts w:cs="Arial"/>
                <w:sz w:val="20"/>
                <w:lang w:val="en-GB"/>
              </w:rPr>
              <w:t>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55D15BB1" w14:textId="77777777" w:rsidR="00E86363" w:rsidRPr="00834F11" w:rsidRDefault="00E86363" w:rsidP="00D61087">
            <w:pPr>
              <w:rPr>
                <w:rFonts w:cs="Arial"/>
                <w:sz w:val="20"/>
                <w:lang w:val="en-GB"/>
              </w:rPr>
            </w:pPr>
            <w:r w:rsidRPr="00834F11">
              <w:rPr>
                <w:rFonts w:cs="Arial"/>
                <w:sz w:val="20"/>
                <w:lang w:val="en-GB"/>
              </w:rPr>
              <w:t>V</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5BB76805" w14:textId="77777777" w:rsidR="00E86363" w:rsidRPr="00834F11" w:rsidRDefault="00E86363" w:rsidP="00D61087">
            <w:pPr>
              <w:rPr>
                <w:rFonts w:cs="Arial"/>
                <w:sz w:val="20"/>
                <w:lang w:val="en-GB"/>
              </w:rPr>
            </w:pPr>
            <w:r w:rsidRPr="00834F11">
              <w:rPr>
                <w:rFonts w:cs="Arial"/>
                <w:sz w:val="20"/>
                <w:lang w:val="en-GB"/>
              </w:rPr>
              <w:t>V</w:t>
            </w:r>
          </w:p>
        </w:tc>
      </w:tr>
      <w:tr w:rsidR="00896834" w:rsidRPr="00834F11" w14:paraId="7CDFF05C" w14:textId="77777777" w:rsidTr="00A419F9">
        <w:trPr>
          <w:trHeight w:val="578"/>
        </w:trPr>
        <w:tc>
          <w:tcPr>
            <w:tcW w:w="959" w:type="dxa"/>
            <w:vMerge/>
            <w:tcBorders>
              <w:top w:val="single" w:sz="8" w:space="0" w:color="auto"/>
              <w:left w:val="single" w:sz="8" w:space="0" w:color="auto"/>
              <w:bottom w:val="single" w:sz="8" w:space="0" w:color="auto"/>
              <w:right w:val="single" w:sz="8" w:space="0" w:color="auto"/>
            </w:tcBorders>
            <w:vAlign w:val="center"/>
            <w:hideMark/>
          </w:tcPr>
          <w:p w14:paraId="79A31886" w14:textId="77777777" w:rsidR="00E86363" w:rsidRPr="00834F11" w:rsidRDefault="00E86363" w:rsidP="00D61087">
            <w:pPr>
              <w:rPr>
                <w:rFonts w:cs="Arial"/>
                <w:b/>
                <w:bCs/>
                <w:sz w:val="20"/>
                <w:lang w:val="en-GB"/>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0F0C40B" w14:textId="77777777" w:rsidR="00E86363" w:rsidRPr="00834F11" w:rsidRDefault="00E86363" w:rsidP="00D61087">
            <w:pPr>
              <w:rPr>
                <w:rFonts w:cs="Arial"/>
                <w:sz w:val="20"/>
                <w:lang w:val="en-GB"/>
              </w:rPr>
            </w:pPr>
            <w:r w:rsidRPr="00834F11">
              <w:rPr>
                <w:rFonts w:cs="Arial"/>
                <w:sz w:val="20"/>
                <w:lang w:val="en-GB"/>
              </w:rPr>
              <w:t>        ZNAČAJNA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F9D9B1C" w14:textId="77777777" w:rsidR="00E86363" w:rsidRPr="00834F11" w:rsidRDefault="00E86363" w:rsidP="00D61087">
            <w:pPr>
              <w:rPr>
                <w:rFonts w:cs="Arial"/>
                <w:b/>
                <w:bCs/>
                <w:sz w:val="20"/>
                <w:lang w:val="en-GB"/>
              </w:rPr>
            </w:pPr>
            <w:r w:rsidRPr="00834F11">
              <w:rPr>
                <w:rFonts w:cs="Arial"/>
                <w:b/>
                <w:bCs/>
                <w:sz w:val="20"/>
                <w:lang w:val="en-GB"/>
              </w:rPr>
              <w:t>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C545518" w14:textId="77777777" w:rsidR="00E86363" w:rsidRPr="00834F11" w:rsidRDefault="00E86363" w:rsidP="00D61087">
            <w:pPr>
              <w:rPr>
                <w:rFonts w:cs="Arial"/>
                <w:sz w:val="20"/>
                <w:lang w:val="en-GB"/>
              </w:rPr>
            </w:pPr>
            <w:r w:rsidRPr="00834F11">
              <w:rPr>
                <w:rFonts w:cs="Arial"/>
                <w:sz w:val="20"/>
                <w:lang w:val="en-GB"/>
              </w:rPr>
              <w:t>M</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A51497B" w14:textId="77777777" w:rsidR="00E86363" w:rsidRPr="00834F11" w:rsidRDefault="00E86363" w:rsidP="00D61087">
            <w:pPr>
              <w:rPr>
                <w:rFonts w:cs="Arial"/>
                <w:sz w:val="20"/>
                <w:lang w:val="en-GB"/>
              </w:rPr>
            </w:pPr>
            <w:r w:rsidRPr="00834F11">
              <w:rPr>
                <w:rFonts w:cs="Arial"/>
                <w:sz w:val="20"/>
                <w:lang w:val="en-GB"/>
              </w:rPr>
              <w:t>M</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7B7CC80D" w14:textId="77777777" w:rsidR="00E86363" w:rsidRPr="00834F11" w:rsidRDefault="00E86363" w:rsidP="00D61087">
            <w:pPr>
              <w:rPr>
                <w:rFonts w:cs="Arial"/>
                <w:sz w:val="20"/>
                <w:lang w:val="en-GB"/>
              </w:rPr>
            </w:pPr>
            <w:r w:rsidRPr="00834F11">
              <w:rPr>
                <w:rFonts w:cs="Arial"/>
                <w:sz w:val="20"/>
                <w:lang w:val="en-GB"/>
              </w:rPr>
              <w:t>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7D1388CA" w14:textId="77777777" w:rsidR="00E86363" w:rsidRPr="00834F11" w:rsidRDefault="00E86363" w:rsidP="00D61087">
            <w:pPr>
              <w:rPr>
                <w:rFonts w:cs="Arial"/>
                <w:sz w:val="20"/>
                <w:lang w:val="en-GB"/>
              </w:rPr>
            </w:pPr>
            <w:r w:rsidRPr="00834F11">
              <w:rPr>
                <w:rFonts w:cs="Arial"/>
                <w:sz w:val="20"/>
                <w:lang w:val="en-GB"/>
              </w:rPr>
              <w:t>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7173A723" w14:textId="77777777" w:rsidR="00E86363" w:rsidRPr="00834F11" w:rsidRDefault="00E86363" w:rsidP="00D61087">
            <w:pPr>
              <w:rPr>
                <w:rFonts w:cs="Arial"/>
                <w:sz w:val="20"/>
                <w:lang w:val="en-GB"/>
              </w:rPr>
            </w:pPr>
            <w:r w:rsidRPr="00834F11">
              <w:rPr>
                <w:rFonts w:cs="Arial"/>
                <w:sz w:val="20"/>
                <w:lang w:val="en-GB"/>
              </w:rPr>
              <w:t>V</w:t>
            </w:r>
          </w:p>
        </w:tc>
      </w:tr>
      <w:tr w:rsidR="00896834" w:rsidRPr="00834F11" w14:paraId="4839C1EB" w14:textId="77777777" w:rsidTr="00A419F9">
        <w:trPr>
          <w:trHeight w:val="578"/>
        </w:trPr>
        <w:tc>
          <w:tcPr>
            <w:tcW w:w="959" w:type="dxa"/>
            <w:vMerge/>
            <w:tcBorders>
              <w:top w:val="single" w:sz="8" w:space="0" w:color="auto"/>
              <w:left w:val="single" w:sz="8" w:space="0" w:color="auto"/>
              <w:bottom w:val="single" w:sz="8" w:space="0" w:color="auto"/>
              <w:right w:val="single" w:sz="8" w:space="0" w:color="auto"/>
            </w:tcBorders>
            <w:vAlign w:val="center"/>
            <w:hideMark/>
          </w:tcPr>
          <w:p w14:paraId="3614E2FF" w14:textId="77777777" w:rsidR="00E86363" w:rsidRPr="00834F11" w:rsidRDefault="00E86363" w:rsidP="00D61087">
            <w:pPr>
              <w:rPr>
                <w:rFonts w:cs="Arial"/>
                <w:b/>
                <w:bCs/>
                <w:sz w:val="20"/>
                <w:lang w:val="en-GB"/>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A5527ED" w14:textId="77777777" w:rsidR="00E86363" w:rsidRPr="00834F11" w:rsidRDefault="00E86363" w:rsidP="00D61087">
            <w:pPr>
              <w:rPr>
                <w:rFonts w:cs="Arial"/>
                <w:sz w:val="20"/>
                <w:lang w:val="en-GB"/>
              </w:rPr>
            </w:pPr>
            <w:r w:rsidRPr="00834F11">
              <w:rPr>
                <w:rFonts w:cs="Arial"/>
                <w:sz w:val="20"/>
                <w:lang w:val="en-GB"/>
              </w:rPr>
              <w:t>        MALA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FE9A064" w14:textId="77777777" w:rsidR="00E86363" w:rsidRPr="00834F11" w:rsidRDefault="00E86363" w:rsidP="00D61087">
            <w:pPr>
              <w:rPr>
                <w:rFonts w:cs="Arial"/>
                <w:b/>
                <w:bCs/>
                <w:sz w:val="20"/>
                <w:lang w:val="en-GB"/>
              </w:rPr>
            </w:pPr>
            <w:r w:rsidRPr="00834F11">
              <w:rPr>
                <w:rFonts w:cs="Arial"/>
                <w:b/>
                <w:bCs/>
                <w:sz w:val="20"/>
                <w:lang w:val="en-GB"/>
              </w:rPr>
              <w:t>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0BAE862" w14:textId="77777777" w:rsidR="00E86363" w:rsidRPr="00834F11" w:rsidRDefault="00E86363" w:rsidP="00D61087">
            <w:pPr>
              <w:rPr>
                <w:rFonts w:cs="Arial"/>
                <w:sz w:val="20"/>
                <w:lang w:val="en-GB"/>
              </w:rPr>
            </w:pPr>
            <w:r w:rsidRPr="00834F11">
              <w:rPr>
                <w:rFonts w:cs="Arial"/>
                <w:sz w:val="20"/>
                <w:lang w:val="en-GB"/>
              </w:rPr>
              <w:t>M</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D71B916" w14:textId="77777777" w:rsidR="00E86363" w:rsidRPr="00834F11" w:rsidRDefault="00E86363" w:rsidP="00D61087">
            <w:pPr>
              <w:rPr>
                <w:rFonts w:cs="Arial"/>
                <w:sz w:val="20"/>
                <w:lang w:val="en-GB"/>
              </w:rPr>
            </w:pPr>
            <w:r w:rsidRPr="00834F11">
              <w:rPr>
                <w:rFonts w:cs="Arial"/>
                <w:sz w:val="20"/>
                <w:lang w:val="en-GB"/>
              </w:rPr>
              <w:t>M</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3ED677C1" w14:textId="77777777" w:rsidR="00E86363" w:rsidRPr="00834F11" w:rsidRDefault="00E86363" w:rsidP="00D61087">
            <w:pPr>
              <w:rPr>
                <w:rFonts w:cs="Arial"/>
                <w:sz w:val="20"/>
                <w:lang w:val="en-GB"/>
              </w:rPr>
            </w:pPr>
            <w:r w:rsidRPr="00834F11">
              <w:rPr>
                <w:rFonts w:cs="Arial"/>
                <w:sz w:val="20"/>
                <w:lang w:val="en-GB"/>
              </w:rPr>
              <w:t>M</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44BCFD35" w14:textId="77777777" w:rsidR="00E86363" w:rsidRPr="00834F11" w:rsidRDefault="00E86363" w:rsidP="00D61087">
            <w:pPr>
              <w:rPr>
                <w:rFonts w:cs="Arial"/>
                <w:sz w:val="20"/>
                <w:lang w:val="en-GB"/>
              </w:rPr>
            </w:pPr>
            <w:r w:rsidRPr="00834F11">
              <w:rPr>
                <w:rFonts w:cs="Arial"/>
                <w:sz w:val="20"/>
                <w:lang w:val="en-GB"/>
              </w:rPr>
              <w:t>S</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214AA8C8" w14:textId="77777777" w:rsidR="00E86363" w:rsidRPr="00834F11" w:rsidRDefault="00E86363" w:rsidP="00D61087">
            <w:pPr>
              <w:rPr>
                <w:rFonts w:cs="Arial"/>
                <w:sz w:val="20"/>
                <w:lang w:val="en-GB"/>
              </w:rPr>
            </w:pPr>
            <w:r w:rsidRPr="00834F11">
              <w:rPr>
                <w:rFonts w:cs="Arial"/>
                <w:sz w:val="20"/>
                <w:lang w:val="en-GB"/>
              </w:rPr>
              <w:t>S</w:t>
            </w:r>
          </w:p>
        </w:tc>
      </w:tr>
      <w:tr w:rsidR="00896834" w:rsidRPr="00834F11" w14:paraId="27AB73D1" w14:textId="77777777" w:rsidTr="00A419F9">
        <w:trPr>
          <w:trHeight w:val="578"/>
        </w:trPr>
        <w:tc>
          <w:tcPr>
            <w:tcW w:w="959" w:type="dxa"/>
            <w:vMerge/>
            <w:tcBorders>
              <w:top w:val="single" w:sz="8" w:space="0" w:color="auto"/>
              <w:left w:val="single" w:sz="8" w:space="0" w:color="auto"/>
              <w:bottom w:val="single" w:sz="8" w:space="0" w:color="auto"/>
              <w:right w:val="single" w:sz="8" w:space="0" w:color="auto"/>
            </w:tcBorders>
            <w:vAlign w:val="center"/>
            <w:hideMark/>
          </w:tcPr>
          <w:p w14:paraId="6AD1363A" w14:textId="77777777" w:rsidR="00E86363" w:rsidRPr="00834F11" w:rsidRDefault="00E86363" w:rsidP="00D61087">
            <w:pPr>
              <w:rPr>
                <w:rFonts w:cs="Arial"/>
                <w:b/>
                <w:bCs/>
                <w:sz w:val="20"/>
                <w:lang w:val="en-GB"/>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71A3173" w14:textId="77777777" w:rsidR="00E86363" w:rsidRPr="00834F11" w:rsidRDefault="00E86363" w:rsidP="00D61087">
            <w:pPr>
              <w:rPr>
                <w:rFonts w:cs="Arial"/>
                <w:sz w:val="20"/>
                <w:lang w:val="en-GB"/>
              </w:rPr>
            </w:pPr>
            <w:r w:rsidRPr="00834F11">
              <w:rPr>
                <w:rFonts w:cs="Arial"/>
                <w:sz w:val="20"/>
                <w:lang w:val="en-GB"/>
              </w:rPr>
              <w:t>       ZANEMARIVA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2E7F5A6" w14:textId="77777777" w:rsidR="00E86363" w:rsidRPr="00834F11" w:rsidRDefault="00E86363" w:rsidP="00D61087">
            <w:pPr>
              <w:rPr>
                <w:rFonts w:cs="Arial"/>
                <w:b/>
                <w:bCs/>
                <w:sz w:val="20"/>
                <w:lang w:val="en-GB"/>
              </w:rPr>
            </w:pPr>
            <w:r w:rsidRPr="00834F11">
              <w:rPr>
                <w:rFonts w:cs="Arial"/>
                <w:b/>
                <w:bCs/>
                <w:sz w:val="20"/>
                <w:lang w:val="en-GB"/>
              </w:rPr>
              <w:t>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7C7B84C" w14:textId="77777777" w:rsidR="00E86363" w:rsidRPr="00834F11" w:rsidRDefault="00E86363" w:rsidP="00D61087">
            <w:pPr>
              <w:rPr>
                <w:rFonts w:cs="Arial"/>
                <w:sz w:val="20"/>
                <w:lang w:val="en-GB"/>
              </w:rPr>
            </w:pPr>
            <w:r w:rsidRPr="00834F11">
              <w:rPr>
                <w:rFonts w:cs="Arial"/>
                <w:sz w:val="20"/>
                <w:lang w:val="en-GB"/>
              </w:rPr>
              <w:t>M</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3F61108" w14:textId="77777777" w:rsidR="00E86363" w:rsidRPr="00834F11" w:rsidRDefault="00E86363" w:rsidP="00D61087">
            <w:pPr>
              <w:rPr>
                <w:rFonts w:cs="Arial"/>
                <w:sz w:val="20"/>
                <w:lang w:val="en-GB"/>
              </w:rPr>
            </w:pPr>
            <w:r w:rsidRPr="00834F11">
              <w:rPr>
                <w:rFonts w:cs="Arial"/>
                <w:sz w:val="20"/>
                <w:lang w:val="en-GB"/>
              </w:rPr>
              <w:t>M</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31F81615" w14:textId="77777777" w:rsidR="00E86363" w:rsidRPr="00834F11" w:rsidRDefault="00E86363" w:rsidP="00D61087">
            <w:pPr>
              <w:rPr>
                <w:rFonts w:cs="Arial"/>
                <w:sz w:val="20"/>
                <w:lang w:val="en-GB"/>
              </w:rPr>
            </w:pPr>
            <w:r w:rsidRPr="00834F11">
              <w:rPr>
                <w:rFonts w:cs="Arial"/>
                <w:sz w:val="20"/>
                <w:lang w:val="en-GB"/>
              </w:rPr>
              <w:t>M</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1573E39F" w14:textId="77777777" w:rsidR="00E86363" w:rsidRPr="00834F11" w:rsidRDefault="00E86363" w:rsidP="00D61087">
            <w:pPr>
              <w:rPr>
                <w:rFonts w:cs="Arial"/>
                <w:sz w:val="20"/>
                <w:lang w:val="en-GB"/>
              </w:rPr>
            </w:pPr>
            <w:r w:rsidRPr="00834F11">
              <w:rPr>
                <w:rFonts w:cs="Arial"/>
                <w:sz w:val="20"/>
                <w:lang w:val="en-GB"/>
              </w:rPr>
              <w:t>M</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19F002E3" w14:textId="77777777" w:rsidR="00E86363" w:rsidRPr="00834F11" w:rsidRDefault="00E86363" w:rsidP="00D61087">
            <w:pPr>
              <w:rPr>
                <w:rFonts w:cs="Arial"/>
                <w:sz w:val="20"/>
                <w:lang w:val="en-GB"/>
              </w:rPr>
            </w:pPr>
            <w:r w:rsidRPr="00834F11">
              <w:rPr>
                <w:rFonts w:cs="Arial"/>
                <w:sz w:val="20"/>
                <w:lang w:val="en-GB"/>
              </w:rPr>
              <w:t>M</w:t>
            </w:r>
          </w:p>
        </w:tc>
      </w:tr>
      <w:tr w:rsidR="00896834" w:rsidRPr="00834F11" w14:paraId="2CDFA31B" w14:textId="77777777" w:rsidTr="00A419F9">
        <w:trPr>
          <w:trHeight w:val="578"/>
        </w:trPr>
        <w:tc>
          <w:tcPr>
            <w:tcW w:w="851"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786D8FD" w14:textId="77777777" w:rsidR="00E86363" w:rsidRPr="00834F11" w:rsidRDefault="00E86363" w:rsidP="00D61087">
            <w:pPr>
              <w:rPr>
                <w:rFonts w:cs="Arial"/>
                <w:b/>
                <w:bCs/>
                <w:sz w:val="20"/>
                <w:lang w:val="en-GB"/>
              </w:rPr>
            </w:pPr>
          </w:p>
          <w:p w14:paraId="0B3F475E" w14:textId="77777777" w:rsidR="00E86363" w:rsidRPr="00834F11" w:rsidRDefault="00E86363" w:rsidP="00D61087">
            <w:pPr>
              <w:rPr>
                <w:rFonts w:cs="Arial"/>
                <w:b/>
                <w:bCs/>
                <w:sz w:val="20"/>
                <w:lang w:val="en-GB"/>
              </w:rPr>
            </w:pPr>
          </w:p>
          <w:p w14:paraId="15A19287" w14:textId="77777777" w:rsidR="00E86363" w:rsidRPr="00834F11" w:rsidRDefault="00E86363" w:rsidP="00D61087">
            <w:pPr>
              <w:rPr>
                <w:rFonts w:cs="Arial"/>
                <w:b/>
                <w:bCs/>
                <w:sz w:val="20"/>
                <w:lang w:val="en-GB"/>
              </w:rPr>
            </w:pPr>
            <w:r w:rsidRPr="00834F11">
              <w:rPr>
                <w:rFonts w:cs="Arial"/>
                <w:b/>
                <w:bCs/>
                <w:sz w:val="20"/>
                <w:lang w:val="en-GB"/>
              </w:rPr>
              <w:t xml:space="preserve">   </w:t>
            </w:r>
            <w:r w:rsidRPr="00834F11">
              <w:rPr>
                <w:rFonts w:cs="Arial"/>
                <w:sz w:val="20"/>
                <w:lang w:val="en-GB"/>
              </w:rPr>
              <w:t> </w:t>
            </w:r>
            <w:r w:rsidRPr="00834F11">
              <w:rPr>
                <w:rFonts w:cs="Arial"/>
                <w:b/>
                <w:bCs/>
                <w:sz w:val="20"/>
                <w:lang w:val="en-GB"/>
              </w:rPr>
              <w:t>RIZIK:</w:t>
            </w:r>
          </w:p>
          <w:p w14:paraId="727F136A" w14:textId="77777777" w:rsidR="00E86363" w:rsidRPr="00834F11" w:rsidRDefault="00E86363" w:rsidP="00D61087">
            <w:pPr>
              <w:rPr>
                <w:rFonts w:cs="Arial"/>
                <w:b/>
                <w:bCs/>
                <w:sz w:val="20"/>
                <w:lang w:val="en-GB"/>
              </w:rPr>
            </w:pPr>
            <w:r w:rsidRPr="00834F11">
              <w:rPr>
                <w:rFonts w:cs="Arial"/>
                <w:b/>
                <w:bCs/>
                <w:sz w:val="20"/>
                <w:lang w:val="en-GB"/>
              </w:rPr>
              <w:t xml:space="preserve">                                             </w:t>
            </w:r>
          </w:p>
          <w:p w14:paraId="1018C990" w14:textId="71F201C6" w:rsidR="00E86363" w:rsidRPr="00834F11" w:rsidRDefault="00E86363" w:rsidP="00D61087">
            <w:pPr>
              <w:rPr>
                <w:rFonts w:cs="Arial"/>
                <w:b/>
                <w:bCs/>
                <w:sz w:val="20"/>
                <w:lang w:val="en-GB"/>
              </w:rPr>
            </w:pPr>
            <w:r w:rsidRPr="00834F11">
              <w:rPr>
                <w:rFonts w:cs="Arial"/>
                <w:b/>
                <w:bCs/>
                <w:sz w:val="20"/>
                <w:lang w:val="en-GB"/>
              </w:rPr>
              <w:t>X    VELIKI (V)</w:t>
            </w:r>
          </w:p>
          <w:p w14:paraId="21F95D20" w14:textId="77777777" w:rsidR="00E86363" w:rsidRPr="00834F11" w:rsidRDefault="00E86363" w:rsidP="00D61087">
            <w:pPr>
              <w:rPr>
                <w:rFonts w:cs="Arial"/>
                <w:b/>
                <w:bCs/>
                <w:sz w:val="20"/>
                <w:lang w:val="en-GB"/>
              </w:rPr>
            </w:pPr>
          </w:p>
          <w:p w14:paraId="767656DC" w14:textId="2FC8EFE0" w:rsidR="00E86363" w:rsidRPr="00834F11" w:rsidRDefault="00E86363" w:rsidP="00D61087">
            <w:pPr>
              <w:rPr>
                <w:rFonts w:cs="Arial"/>
                <w:b/>
                <w:bCs/>
                <w:sz w:val="20"/>
                <w:lang w:val="en-GB"/>
              </w:rPr>
            </w:pPr>
            <w:r w:rsidRPr="00834F11">
              <w:rPr>
                <w:rFonts w:cs="Arial"/>
                <w:b/>
                <w:bCs/>
                <w:sz w:val="20"/>
                <w:lang w:val="en-GB"/>
              </w:rPr>
              <w:t>X    SREDNJI (S)</w:t>
            </w:r>
          </w:p>
          <w:p w14:paraId="34EF25A4" w14:textId="77777777" w:rsidR="00E86363" w:rsidRPr="00834F11" w:rsidRDefault="00E86363" w:rsidP="00D61087">
            <w:pPr>
              <w:rPr>
                <w:rFonts w:cs="Arial"/>
                <w:b/>
                <w:bCs/>
                <w:sz w:val="20"/>
                <w:lang w:val="en-GB"/>
              </w:rPr>
            </w:pPr>
          </w:p>
          <w:p w14:paraId="5583D7D3" w14:textId="0BFC61D0" w:rsidR="00E86363" w:rsidRPr="00834F11" w:rsidRDefault="00E86363" w:rsidP="00D61087">
            <w:pPr>
              <w:rPr>
                <w:rFonts w:cs="Arial"/>
                <w:b/>
                <w:bCs/>
                <w:sz w:val="20"/>
                <w:lang w:val="en-GB"/>
              </w:rPr>
            </w:pPr>
            <w:r w:rsidRPr="00834F11">
              <w:rPr>
                <w:rFonts w:cs="Arial"/>
                <w:b/>
                <w:bCs/>
                <w:sz w:val="20"/>
                <w:lang w:val="en-GB"/>
              </w:rPr>
              <w:t>X    MALI (M)</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DFB8BED" w14:textId="77777777" w:rsidR="00E86363" w:rsidRPr="00834F11" w:rsidRDefault="00E86363" w:rsidP="00D61087">
            <w:pPr>
              <w:rPr>
                <w:rFonts w:cs="Arial"/>
                <w:b/>
                <w:bCs/>
                <w:sz w:val="20"/>
                <w:lang w:val="en-GB"/>
              </w:rPr>
            </w:pPr>
            <w:r w:rsidRPr="00834F11">
              <w:rPr>
                <w:rFonts w:cs="Arial"/>
                <w:b/>
                <w:bCs/>
                <w:sz w:val="20"/>
                <w:lang w:val="en-GB"/>
              </w:rPr>
              <w:t>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633C781" w14:textId="77777777" w:rsidR="00E86363" w:rsidRPr="00834F11" w:rsidRDefault="00E86363" w:rsidP="00D61087">
            <w:pPr>
              <w:rPr>
                <w:rFonts w:cs="Arial"/>
                <w:b/>
                <w:bCs/>
                <w:sz w:val="20"/>
                <w:lang w:val="en-GB"/>
              </w:rPr>
            </w:pPr>
            <w:r w:rsidRPr="00834F11">
              <w:rPr>
                <w:rFonts w:cs="Arial"/>
                <w:b/>
                <w:bCs/>
                <w:sz w:val="20"/>
                <w:lang w:val="en-GB"/>
              </w:rPr>
              <w:t>2</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3B7999D9" w14:textId="77777777" w:rsidR="00E86363" w:rsidRPr="00834F11" w:rsidRDefault="00E86363" w:rsidP="00D61087">
            <w:pPr>
              <w:rPr>
                <w:rFonts w:cs="Arial"/>
                <w:b/>
                <w:bCs/>
                <w:sz w:val="20"/>
                <w:lang w:val="en-GB"/>
              </w:rPr>
            </w:pPr>
            <w:r w:rsidRPr="00834F11">
              <w:rPr>
                <w:rFonts w:cs="Arial"/>
                <w:b/>
                <w:bCs/>
                <w:sz w:val="20"/>
                <w:lang w:val="en-GB"/>
              </w:rPr>
              <w:t>3</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430FE895" w14:textId="77777777" w:rsidR="00E86363" w:rsidRPr="00834F11" w:rsidRDefault="00E86363" w:rsidP="00D61087">
            <w:pPr>
              <w:rPr>
                <w:rFonts w:cs="Arial"/>
                <w:b/>
                <w:bCs/>
                <w:sz w:val="20"/>
                <w:lang w:val="en-GB"/>
              </w:rPr>
            </w:pPr>
            <w:r w:rsidRPr="00834F11">
              <w:rPr>
                <w:rFonts w:cs="Arial"/>
                <w:b/>
                <w:bCs/>
                <w:sz w:val="20"/>
                <w:lang w:val="en-GB"/>
              </w:rPr>
              <w:t>4</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545A724C" w14:textId="77777777" w:rsidR="00E86363" w:rsidRPr="00834F11" w:rsidRDefault="00E86363" w:rsidP="00D61087">
            <w:pPr>
              <w:rPr>
                <w:rFonts w:cs="Arial"/>
                <w:b/>
                <w:bCs/>
                <w:sz w:val="20"/>
                <w:lang w:val="en-GB"/>
              </w:rPr>
            </w:pPr>
            <w:r w:rsidRPr="00834F11">
              <w:rPr>
                <w:rFonts w:cs="Arial"/>
                <w:b/>
                <w:bCs/>
                <w:sz w:val="20"/>
                <w:lang w:val="en-GB"/>
              </w:rPr>
              <w:t>5</w:t>
            </w:r>
          </w:p>
        </w:tc>
      </w:tr>
      <w:tr w:rsidR="00896834" w:rsidRPr="00834F11" w14:paraId="2FE8394D" w14:textId="77777777" w:rsidTr="00A419F9">
        <w:trPr>
          <w:cantSplit/>
          <w:trHeight w:val="1915"/>
        </w:trPr>
        <w:tc>
          <w:tcPr>
            <w:tcW w:w="851" w:type="dxa"/>
            <w:gridSpan w:val="3"/>
            <w:vMerge/>
            <w:tcBorders>
              <w:top w:val="nil"/>
              <w:left w:val="single" w:sz="8" w:space="0" w:color="auto"/>
              <w:bottom w:val="single" w:sz="8" w:space="0" w:color="auto"/>
              <w:right w:val="single" w:sz="8" w:space="0" w:color="auto"/>
            </w:tcBorders>
            <w:vAlign w:val="center"/>
            <w:hideMark/>
          </w:tcPr>
          <w:p w14:paraId="1A80FFF4" w14:textId="77777777" w:rsidR="00E86363" w:rsidRPr="00834F11" w:rsidRDefault="00E86363" w:rsidP="00D61087">
            <w:pPr>
              <w:rPr>
                <w:rFonts w:cs="Arial"/>
                <w:b/>
                <w:bCs/>
                <w:sz w:val="20"/>
                <w:lang w:val="en-GB"/>
              </w:rPr>
            </w:pPr>
          </w:p>
        </w:tc>
        <w:tc>
          <w:tcPr>
            <w:tcW w:w="907" w:type="dxa"/>
            <w:tcBorders>
              <w:top w:val="nil"/>
              <w:left w:val="nil"/>
              <w:bottom w:val="single" w:sz="8" w:space="0" w:color="auto"/>
              <w:right w:val="single" w:sz="8" w:space="0" w:color="auto"/>
            </w:tcBorders>
            <w:tcMar>
              <w:top w:w="0" w:type="dxa"/>
              <w:left w:w="108" w:type="dxa"/>
              <w:bottom w:w="0" w:type="dxa"/>
              <w:right w:w="108" w:type="dxa"/>
            </w:tcMar>
            <w:textDirection w:val="tbRl"/>
            <w:hideMark/>
          </w:tcPr>
          <w:p w14:paraId="61E7EF82" w14:textId="77777777" w:rsidR="00E86363" w:rsidRPr="00834F11" w:rsidRDefault="00E86363" w:rsidP="00D61087">
            <w:pPr>
              <w:rPr>
                <w:rFonts w:cs="Arial"/>
                <w:sz w:val="20"/>
                <w:lang w:val="en-GB"/>
              </w:rPr>
            </w:pPr>
            <w:r w:rsidRPr="00834F11">
              <w:rPr>
                <w:rFonts w:cs="Arial"/>
                <w:sz w:val="20"/>
                <w:lang w:val="en-GB"/>
              </w:rPr>
              <w:t>RIJETKO</w:t>
            </w:r>
          </w:p>
        </w:tc>
        <w:tc>
          <w:tcPr>
            <w:tcW w:w="907" w:type="dxa"/>
            <w:tcBorders>
              <w:top w:val="nil"/>
              <w:left w:val="nil"/>
              <w:bottom w:val="single" w:sz="8" w:space="0" w:color="auto"/>
              <w:right w:val="single" w:sz="8" w:space="0" w:color="auto"/>
            </w:tcBorders>
            <w:tcMar>
              <w:top w:w="0" w:type="dxa"/>
              <w:left w:w="108" w:type="dxa"/>
              <w:bottom w:w="0" w:type="dxa"/>
              <w:right w:w="108" w:type="dxa"/>
            </w:tcMar>
            <w:textDirection w:val="tbRl"/>
            <w:hideMark/>
          </w:tcPr>
          <w:p w14:paraId="19DC2D17" w14:textId="77777777" w:rsidR="00E86363" w:rsidRPr="00834F11" w:rsidRDefault="00E86363" w:rsidP="00D61087">
            <w:pPr>
              <w:rPr>
                <w:rFonts w:cs="Arial"/>
                <w:sz w:val="20"/>
                <w:lang w:val="en-GB"/>
              </w:rPr>
            </w:pPr>
            <w:r w:rsidRPr="00834F11">
              <w:rPr>
                <w:rFonts w:cs="Arial"/>
                <w:sz w:val="20"/>
                <w:lang w:val="en-GB"/>
              </w:rPr>
              <w:t>MOGUĆE</w:t>
            </w:r>
          </w:p>
        </w:tc>
        <w:tc>
          <w:tcPr>
            <w:tcW w:w="848" w:type="dxa"/>
            <w:tcBorders>
              <w:top w:val="nil"/>
              <w:left w:val="nil"/>
              <w:bottom w:val="single" w:sz="8" w:space="0" w:color="auto"/>
              <w:right w:val="single" w:sz="8" w:space="0" w:color="auto"/>
            </w:tcBorders>
            <w:tcMar>
              <w:top w:w="0" w:type="dxa"/>
              <w:left w:w="108" w:type="dxa"/>
              <w:bottom w:w="0" w:type="dxa"/>
              <w:right w:w="108" w:type="dxa"/>
            </w:tcMar>
            <w:textDirection w:val="tbRl"/>
            <w:hideMark/>
          </w:tcPr>
          <w:p w14:paraId="2EBA7D2F" w14:textId="77777777" w:rsidR="00E86363" w:rsidRPr="00834F11" w:rsidRDefault="00E86363" w:rsidP="00D61087">
            <w:pPr>
              <w:rPr>
                <w:rFonts w:cs="Arial"/>
                <w:sz w:val="20"/>
                <w:lang w:val="en-GB"/>
              </w:rPr>
            </w:pPr>
            <w:r w:rsidRPr="00834F11">
              <w:rPr>
                <w:rFonts w:cs="Arial"/>
                <w:sz w:val="20"/>
                <w:lang w:val="en-GB"/>
              </w:rPr>
              <w:t>ČESTO</w:t>
            </w:r>
          </w:p>
        </w:tc>
        <w:tc>
          <w:tcPr>
            <w:tcW w:w="848" w:type="dxa"/>
            <w:tcBorders>
              <w:top w:val="nil"/>
              <w:left w:val="nil"/>
              <w:bottom w:val="single" w:sz="8" w:space="0" w:color="auto"/>
              <w:right w:val="single" w:sz="8" w:space="0" w:color="auto"/>
            </w:tcBorders>
            <w:tcMar>
              <w:top w:w="0" w:type="dxa"/>
              <w:left w:w="108" w:type="dxa"/>
              <w:bottom w:w="0" w:type="dxa"/>
              <w:right w:w="108" w:type="dxa"/>
            </w:tcMar>
            <w:textDirection w:val="tbRl"/>
            <w:hideMark/>
          </w:tcPr>
          <w:p w14:paraId="436145E5" w14:textId="77777777" w:rsidR="00E86363" w:rsidRPr="00834F11" w:rsidRDefault="00E86363" w:rsidP="00D61087">
            <w:pPr>
              <w:rPr>
                <w:rFonts w:cs="Arial"/>
                <w:sz w:val="20"/>
                <w:lang w:val="en-GB"/>
              </w:rPr>
            </w:pPr>
            <w:r w:rsidRPr="00834F11">
              <w:rPr>
                <w:rFonts w:cs="Arial"/>
                <w:sz w:val="20"/>
                <w:lang w:val="en-GB"/>
              </w:rPr>
              <w:t>VJEROJATNO</w:t>
            </w:r>
          </w:p>
        </w:tc>
        <w:tc>
          <w:tcPr>
            <w:tcW w:w="848" w:type="dxa"/>
            <w:tcBorders>
              <w:top w:val="nil"/>
              <w:left w:val="nil"/>
              <w:bottom w:val="single" w:sz="8" w:space="0" w:color="auto"/>
              <w:right w:val="single" w:sz="8" w:space="0" w:color="auto"/>
            </w:tcBorders>
            <w:tcMar>
              <w:top w:w="0" w:type="dxa"/>
              <w:left w:w="108" w:type="dxa"/>
              <w:bottom w:w="0" w:type="dxa"/>
              <w:right w:w="108" w:type="dxa"/>
            </w:tcMar>
            <w:textDirection w:val="tbRl"/>
            <w:hideMark/>
          </w:tcPr>
          <w:p w14:paraId="05C34985" w14:textId="77777777" w:rsidR="00E86363" w:rsidRPr="00834F11" w:rsidRDefault="00E86363" w:rsidP="00D61087">
            <w:pPr>
              <w:rPr>
                <w:rFonts w:cs="Arial"/>
                <w:sz w:val="20"/>
                <w:lang w:val="en-GB"/>
              </w:rPr>
            </w:pPr>
            <w:r w:rsidRPr="00834F11">
              <w:rPr>
                <w:rFonts w:cs="Arial"/>
                <w:sz w:val="20"/>
                <w:lang w:val="en-GB"/>
              </w:rPr>
              <w:t>GOTOVO SIGURNO</w:t>
            </w:r>
          </w:p>
        </w:tc>
      </w:tr>
      <w:tr w:rsidR="00896834" w:rsidRPr="00834F11" w14:paraId="4FF6F7A6" w14:textId="77777777" w:rsidTr="00A419F9">
        <w:trPr>
          <w:trHeight w:val="578"/>
        </w:trPr>
        <w:tc>
          <w:tcPr>
            <w:tcW w:w="851" w:type="dxa"/>
            <w:gridSpan w:val="3"/>
            <w:vMerge/>
            <w:tcBorders>
              <w:top w:val="nil"/>
              <w:left w:val="single" w:sz="8" w:space="0" w:color="auto"/>
              <w:bottom w:val="single" w:sz="8" w:space="0" w:color="auto"/>
              <w:right w:val="single" w:sz="8" w:space="0" w:color="auto"/>
            </w:tcBorders>
            <w:vAlign w:val="center"/>
            <w:hideMark/>
          </w:tcPr>
          <w:p w14:paraId="7AEB0B79" w14:textId="77777777" w:rsidR="00E86363" w:rsidRPr="00834F11" w:rsidRDefault="00E86363" w:rsidP="00D61087">
            <w:pPr>
              <w:rPr>
                <w:rFonts w:cs="Arial"/>
                <w:b/>
                <w:bCs/>
                <w:sz w:val="20"/>
                <w:lang w:val="en-GB"/>
              </w:rPr>
            </w:pPr>
          </w:p>
        </w:tc>
        <w:tc>
          <w:tcPr>
            <w:tcW w:w="907"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6240C42" w14:textId="6E4309CB" w:rsidR="00E86363" w:rsidRPr="00834F11" w:rsidRDefault="00E86363" w:rsidP="00896834">
            <w:pPr>
              <w:jc w:val="center"/>
              <w:rPr>
                <w:rFonts w:cs="Arial"/>
                <w:b/>
                <w:bCs/>
                <w:sz w:val="20"/>
                <w:lang w:val="en-GB"/>
              </w:rPr>
            </w:pPr>
            <w:r w:rsidRPr="00834F11">
              <w:rPr>
                <w:rFonts w:cs="Arial"/>
                <w:b/>
                <w:bCs/>
                <w:sz w:val="20"/>
                <w:lang w:val="en-GB"/>
              </w:rPr>
              <w:t>VJEROJATNOST</w:t>
            </w:r>
          </w:p>
        </w:tc>
      </w:tr>
    </w:tbl>
    <w:p w14:paraId="65B0E2BA" w14:textId="4DF6E205" w:rsidR="00E86363" w:rsidRPr="00834F11" w:rsidRDefault="00E86363" w:rsidP="00D61087">
      <w:pPr>
        <w:rPr>
          <w:rFonts w:cs="Arial"/>
          <w:sz w:val="20"/>
        </w:rPr>
      </w:pPr>
    </w:p>
    <w:p w14:paraId="1349BB9A" w14:textId="0EAEB7FF" w:rsidR="00E86363" w:rsidRPr="00834F11" w:rsidRDefault="00E86363" w:rsidP="00D61087">
      <w:pPr>
        <w:rPr>
          <w:rFonts w:cs="Arial"/>
          <w:sz w:val="20"/>
        </w:rPr>
      </w:pPr>
    </w:p>
    <w:p w14:paraId="5FD57C30" w14:textId="1C0A3361" w:rsidR="00E86363" w:rsidRPr="00834F11" w:rsidRDefault="00E86363" w:rsidP="00D61087">
      <w:pPr>
        <w:rPr>
          <w:rFonts w:cs="Arial"/>
          <w:sz w:val="20"/>
        </w:rPr>
      </w:pPr>
    </w:p>
    <w:p w14:paraId="4E61BFF8" w14:textId="170E5B9F" w:rsidR="00E86363" w:rsidRPr="00834F11" w:rsidRDefault="00E86363" w:rsidP="00D61087">
      <w:pPr>
        <w:rPr>
          <w:rFonts w:cs="Arial"/>
          <w:sz w:val="20"/>
        </w:rPr>
      </w:pPr>
    </w:p>
    <w:p w14:paraId="1CDDA407" w14:textId="7DEA5C08" w:rsidR="00E86363" w:rsidRPr="00834F11" w:rsidRDefault="00E86363" w:rsidP="00D61087">
      <w:pPr>
        <w:rPr>
          <w:rFonts w:cs="Arial"/>
          <w:sz w:val="20"/>
        </w:rPr>
      </w:pPr>
    </w:p>
    <w:p w14:paraId="22D9A7A7" w14:textId="1301782E" w:rsidR="00E86363" w:rsidRPr="00834F11" w:rsidRDefault="00E86363" w:rsidP="00D61087">
      <w:pPr>
        <w:rPr>
          <w:rFonts w:cs="Arial"/>
          <w:sz w:val="20"/>
        </w:rPr>
      </w:pPr>
    </w:p>
    <w:p w14:paraId="3A6C2D44" w14:textId="63115827" w:rsidR="00E86363" w:rsidRPr="00834F11" w:rsidRDefault="00E86363" w:rsidP="00D61087">
      <w:pPr>
        <w:rPr>
          <w:rFonts w:cs="Arial"/>
          <w:sz w:val="20"/>
        </w:rPr>
      </w:pPr>
    </w:p>
    <w:p w14:paraId="2B6FB0D4" w14:textId="76DF74A0" w:rsidR="00E86363" w:rsidRPr="00834F11" w:rsidRDefault="00E86363" w:rsidP="00D61087">
      <w:pPr>
        <w:rPr>
          <w:rFonts w:cs="Arial"/>
          <w:sz w:val="20"/>
        </w:rPr>
      </w:pPr>
    </w:p>
    <w:p w14:paraId="758A267E" w14:textId="4FF3A017" w:rsidR="00E86363" w:rsidRPr="00834F11" w:rsidRDefault="00E86363" w:rsidP="00D61087">
      <w:pPr>
        <w:rPr>
          <w:rFonts w:cs="Arial"/>
          <w:sz w:val="20"/>
        </w:rPr>
      </w:pPr>
    </w:p>
    <w:p w14:paraId="505176FC" w14:textId="604E7936" w:rsidR="00E86363" w:rsidRPr="00834F11" w:rsidRDefault="00E86363" w:rsidP="00D61087">
      <w:pPr>
        <w:rPr>
          <w:rFonts w:cs="Arial"/>
          <w:sz w:val="20"/>
        </w:rPr>
      </w:pPr>
    </w:p>
    <w:p w14:paraId="3D8CFA63" w14:textId="646E85C6" w:rsidR="00E86363" w:rsidRPr="00834F11" w:rsidRDefault="00E86363" w:rsidP="00D61087">
      <w:pPr>
        <w:rPr>
          <w:rFonts w:cs="Arial"/>
          <w:sz w:val="20"/>
        </w:rPr>
      </w:pPr>
    </w:p>
    <w:p w14:paraId="7F0EE6A6" w14:textId="79B379D1" w:rsidR="00E86363" w:rsidRPr="00834F11" w:rsidRDefault="00E86363" w:rsidP="00D61087">
      <w:pPr>
        <w:rPr>
          <w:rFonts w:cs="Arial"/>
          <w:sz w:val="20"/>
        </w:rPr>
      </w:pPr>
    </w:p>
    <w:p w14:paraId="75554F84" w14:textId="64D88040" w:rsidR="00E86363" w:rsidRPr="00834F11" w:rsidRDefault="00E86363" w:rsidP="00D61087">
      <w:pPr>
        <w:rPr>
          <w:rFonts w:cs="Arial"/>
          <w:sz w:val="20"/>
        </w:rPr>
      </w:pPr>
    </w:p>
    <w:p w14:paraId="60BCF67B" w14:textId="4C48C7B7" w:rsidR="00E86363" w:rsidRPr="00834F11" w:rsidRDefault="00E86363" w:rsidP="00D61087">
      <w:pPr>
        <w:rPr>
          <w:rFonts w:cs="Arial"/>
          <w:sz w:val="20"/>
        </w:rPr>
      </w:pPr>
    </w:p>
    <w:p w14:paraId="1F229B10" w14:textId="0DA377A7" w:rsidR="00E86363" w:rsidRPr="00834F11" w:rsidRDefault="00E86363" w:rsidP="00D61087">
      <w:pPr>
        <w:rPr>
          <w:rFonts w:cs="Arial"/>
          <w:sz w:val="20"/>
        </w:rPr>
      </w:pPr>
    </w:p>
    <w:p w14:paraId="5331F60B" w14:textId="3EB8DC90" w:rsidR="00E86363" w:rsidRPr="00834F11" w:rsidRDefault="00E86363" w:rsidP="00D61087">
      <w:pPr>
        <w:rPr>
          <w:rFonts w:cs="Arial"/>
          <w:sz w:val="20"/>
        </w:rPr>
      </w:pPr>
    </w:p>
    <w:p w14:paraId="54F24E9D" w14:textId="6EBEAFC1" w:rsidR="00E86363" w:rsidRPr="00834F11" w:rsidRDefault="00E86363" w:rsidP="00D61087">
      <w:pPr>
        <w:rPr>
          <w:rFonts w:cs="Arial"/>
          <w:sz w:val="20"/>
        </w:rPr>
      </w:pPr>
    </w:p>
    <w:p w14:paraId="24696D56" w14:textId="7B943735" w:rsidR="00E86363" w:rsidRPr="00834F11" w:rsidRDefault="00E86363" w:rsidP="00D61087">
      <w:pPr>
        <w:rPr>
          <w:rFonts w:cs="Arial"/>
          <w:sz w:val="20"/>
        </w:rPr>
      </w:pPr>
    </w:p>
    <w:p w14:paraId="0016EA96" w14:textId="0A323990" w:rsidR="00E86363" w:rsidRPr="00834F11" w:rsidRDefault="00E86363" w:rsidP="00D61087">
      <w:pPr>
        <w:rPr>
          <w:rFonts w:cs="Arial"/>
          <w:sz w:val="20"/>
        </w:rPr>
      </w:pPr>
    </w:p>
    <w:p w14:paraId="43D6FE37" w14:textId="77777777" w:rsidR="00E86363" w:rsidRPr="00834F11" w:rsidRDefault="00E86363" w:rsidP="00D61087">
      <w:pPr>
        <w:rPr>
          <w:rFonts w:cs="Arial"/>
          <w:sz w:val="20"/>
        </w:rPr>
      </w:pPr>
    </w:p>
    <w:p w14:paraId="553F7413" w14:textId="77777777" w:rsidR="004508F3" w:rsidRPr="00834F11" w:rsidRDefault="004508F3" w:rsidP="00D61087">
      <w:pPr>
        <w:autoSpaceDE w:val="0"/>
        <w:autoSpaceDN w:val="0"/>
        <w:ind w:left="720"/>
        <w:rPr>
          <w:rFonts w:cs="Arial"/>
          <w:sz w:val="20"/>
        </w:rPr>
      </w:pPr>
    </w:p>
    <w:p w14:paraId="1B28E162" w14:textId="77777777" w:rsidR="004508F3" w:rsidRPr="00834F11" w:rsidRDefault="004508F3" w:rsidP="00D61087">
      <w:pPr>
        <w:autoSpaceDE w:val="0"/>
        <w:autoSpaceDN w:val="0"/>
        <w:ind w:left="720"/>
        <w:rPr>
          <w:rFonts w:cs="Arial"/>
          <w:sz w:val="20"/>
        </w:rPr>
      </w:pPr>
    </w:p>
    <w:p w14:paraId="66D8DAB1" w14:textId="77777777" w:rsidR="004508F3" w:rsidRPr="00834F11" w:rsidRDefault="004508F3" w:rsidP="00D61087">
      <w:pPr>
        <w:autoSpaceDE w:val="0"/>
        <w:autoSpaceDN w:val="0"/>
        <w:rPr>
          <w:rFonts w:cs="Arial"/>
          <w:sz w:val="20"/>
        </w:rPr>
      </w:pPr>
    </w:p>
    <w:p w14:paraId="52C65EDE" w14:textId="77777777" w:rsidR="004508F3" w:rsidRPr="00834F11" w:rsidRDefault="004508F3" w:rsidP="00D61087">
      <w:pPr>
        <w:autoSpaceDE w:val="0"/>
        <w:autoSpaceDN w:val="0"/>
        <w:rPr>
          <w:rFonts w:cs="Arial"/>
          <w:sz w:val="20"/>
        </w:rPr>
      </w:pPr>
    </w:p>
    <w:p w14:paraId="65944B6D" w14:textId="77777777" w:rsidR="004508F3" w:rsidRPr="00834F11" w:rsidRDefault="004508F3" w:rsidP="00D61087">
      <w:pPr>
        <w:autoSpaceDE w:val="0"/>
        <w:autoSpaceDN w:val="0"/>
        <w:rPr>
          <w:rFonts w:cs="Arial"/>
          <w:sz w:val="20"/>
        </w:rPr>
      </w:pPr>
    </w:p>
    <w:p w14:paraId="7ED829D1" w14:textId="77777777" w:rsidR="004508F3" w:rsidRPr="00834F11" w:rsidRDefault="004508F3" w:rsidP="00D61087">
      <w:pPr>
        <w:autoSpaceDE w:val="0"/>
        <w:autoSpaceDN w:val="0"/>
        <w:rPr>
          <w:rFonts w:cs="Arial"/>
          <w:sz w:val="20"/>
        </w:rPr>
      </w:pPr>
    </w:p>
    <w:p w14:paraId="3863EF0C" w14:textId="77777777" w:rsidR="004508F3" w:rsidRPr="00834F11" w:rsidRDefault="004508F3" w:rsidP="00D61087">
      <w:pPr>
        <w:autoSpaceDE w:val="0"/>
        <w:autoSpaceDN w:val="0"/>
        <w:rPr>
          <w:rFonts w:cs="Arial"/>
          <w:sz w:val="20"/>
        </w:rPr>
      </w:pPr>
    </w:p>
    <w:p w14:paraId="7B4D8730" w14:textId="77777777" w:rsidR="004508F3" w:rsidRPr="00834F11" w:rsidRDefault="004508F3" w:rsidP="00D61087">
      <w:pPr>
        <w:autoSpaceDE w:val="0"/>
        <w:autoSpaceDN w:val="0"/>
        <w:ind w:left="720"/>
        <w:rPr>
          <w:rFonts w:cs="Arial"/>
          <w:sz w:val="20"/>
        </w:rPr>
      </w:pPr>
    </w:p>
    <w:p w14:paraId="1B9FA4AE" w14:textId="6CD67B85" w:rsidR="00EA34FF" w:rsidRPr="00834F11" w:rsidRDefault="00EA34FF" w:rsidP="00896834">
      <w:pPr>
        <w:numPr>
          <w:ilvl w:val="0"/>
          <w:numId w:val="35"/>
        </w:numPr>
        <w:autoSpaceDE w:val="0"/>
        <w:autoSpaceDN w:val="0"/>
        <w:jc w:val="both"/>
        <w:rPr>
          <w:rFonts w:cs="Arial"/>
          <w:sz w:val="20"/>
        </w:rPr>
      </w:pPr>
      <w:r w:rsidRPr="00834F11">
        <w:rPr>
          <w:rFonts w:cs="Arial"/>
          <w:sz w:val="20"/>
        </w:rPr>
        <w:t xml:space="preserve">MALI- zanemariva mogućnost pojave rizika i utjecaj na SU i provedbu procesa, neznatne posljedice u procesima i proizvodima u slučaju realizacije rizika </w:t>
      </w:r>
    </w:p>
    <w:p w14:paraId="567D5644" w14:textId="77777777" w:rsidR="00EA34FF" w:rsidRPr="00834F11" w:rsidRDefault="00EA34FF" w:rsidP="00896834">
      <w:pPr>
        <w:numPr>
          <w:ilvl w:val="0"/>
          <w:numId w:val="35"/>
        </w:numPr>
        <w:autoSpaceDE w:val="0"/>
        <w:autoSpaceDN w:val="0"/>
        <w:jc w:val="both"/>
        <w:rPr>
          <w:rFonts w:cs="Arial"/>
          <w:sz w:val="20"/>
        </w:rPr>
      </w:pPr>
      <w:r w:rsidRPr="00834F11">
        <w:rPr>
          <w:rFonts w:cs="Arial"/>
          <w:sz w:val="20"/>
        </w:rPr>
        <w:t>SREDJNI- postoji mogućnost pojave rizika i utjecaja na SU i provedbu procesa, posljedice u slučaju realizacije rizika u manjoj mjeri mogu dovesti do nesukladnosti u procesima i proizvodima</w:t>
      </w:r>
    </w:p>
    <w:p w14:paraId="31F30513" w14:textId="59E9D3A7" w:rsidR="004C1EFA" w:rsidRPr="00834F11" w:rsidRDefault="00EA34FF" w:rsidP="00896834">
      <w:pPr>
        <w:numPr>
          <w:ilvl w:val="0"/>
          <w:numId w:val="35"/>
        </w:numPr>
        <w:autoSpaceDE w:val="0"/>
        <w:autoSpaceDN w:val="0"/>
        <w:jc w:val="both"/>
        <w:rPr>
          <w:rFonts w:cs="Arial"/>
          <w:sz w:val="20"/>
        </w:rPr>
      </w:pPr>
      <w:r w:rsidRPr="00834F11">
        <w:rPr>
          <w:rFonts w:cs="Arial"/>
          <w:sz w:val="20"/>
        </w:rPr>
        <w:t xml:space="preserve">VELIKE- </w:t>
      </w:r>
      <w:r w:rsidRPr="00834F11">
        <w:rPr>
          <w:rFonts w:cs="Arial"/>
          <w:sz w:val="20"/>
          <w:lang w:eastAsia="hr-HR"/>
        </w:rPr>
        <w:t xml:space="preserve"> značajna </w:t>
      </w:r>
      <w:r w:rsidRPr="00834F11">
        <w:rPr>
          <w:rFonts w:cs="Arial"/>
          <w:sz w:val="20"/>
        </w:rPr>
        <w:t>mogućnost pojave rizika i utjecaj na SU i provedbu procesa, značajne posljedice u procesima i proizvodima u slučaju realizacije rizika</w:t>
      </w:r>
      <w:r w:rsidR="00077B68" w:rsidRPr="00834F11">
        <w:rPr>
          <w:rFonts w:cs="Arial"/>
          <w:sz w:val="20"/>
        </w:rPr>
        <w:t>.</w:t>
      </w:r>
      <w:r w:rsidRPr="00834F11">
        <w:rPr>
          <w:rFonts w:cs="Arial"/>
          <w:sz w:val="20"/>
        </w:rPr>
        <w:t xml:space="preserve"> </w:t>
      </w:r>
    </w:p>
    <w:p w14:paraId="65F2CEBE" w14:textId="2F8BFE7C" w:rsidR="0086114D" w:rsidRPr="00834F11" w:rsidRDefault="0086114D" w:rsidP="00896834">
      <w:pPr>
        <w:adjustRightInd w:val="0"/>
        <w:jc w:val="both"/>
        <w:rPr>
          <w:rFonts w:eastAsia="Calibri" w:cs="Arial"/>
          <w:sz w:val="20"/>
        </w:rPr>
      </w:pPr>
      <w:r w:rsidRPr="00834F11">
        <w:rPr>
          <w:rFonts w:eastAsia="Calibri" w:cs="Arial"/>
          <w:sz w:val="20"/>
        </w:rPr>
        <w:t>Velike rizike -neprihvatljive  treba svesti na male rizike tj</w:t>
      </w:r>
      <w:r w:rsidR="009B6419" w:rsidRPr="00834F11">
        <w:rPr>
          <w:rFonts w:eastAsia="Calibri" w:cs="Arial"/>
          <w:sz w:val="20"/>
        </w:rPr>
        <w:t>.</w:t>
      </w:r>
      <w:r w:rsidRPr="00834F11">
        <w:rPr>
          <w:rFonts w:eastAsia="Calibri" w:cs="Arial"/>
          <w:sz w:val="20"/>
        </w:rPr>
        <w:t xml:space="preserve"> na razinu prihvatljivosti i održavati ih na toj razini  sljedećim mjerama:</w:t>
      </w:r>
    </w:p>
    <w:p w14:paraId="2EF23DC5" w14:textId="77777777" w:rsidR="0086114D" w:rsidRPr="00834F11" w:rsidRDefault="0086114D" w:rsidP="00896834">
      <w:pPr>
        <w:numPr>
          <w:ilvl w:val="0"/>
          <w:numId w:val="39"/>
        </w:numPr>
        <w:adjustRightInd w:val="0"/>
        <w:jc w:val="both"/>
        <w:rPr>
          <w:rFonts w:eastAsia="Calibri" w:cs="Arial"/>
          <w:sz w:val="20"/>
        </w:rPr>
      </w:pPr>
      <w:r w:rsidRPr="00834F11">
        <w:rPr>
          <w:rFonts w:eastAsia="Calibri" w:cs="Arial"/>
          <w:sz w:val="20"/>
        </w:rPr>
        <w:t>Odrediti cilj akcije smanjivanja razine rizika</w:t>
      </w:r>
    </w:p>
    <w:p w14:paraId="1E3873E1" w14:textId="0DB01F74" w:rsidR="0086114D" w:rsidRPr="00834F11" w:rsidRDefault="0086114D" w:rsidP="00896834">
      <w:pPr>
        <w:numPr>
          <w:ilvl w:val="0"/>
          <w:numId w:val="39"/>
        </w:numPr>
        <w:adjustRightInd w:val="0"/>
        <w:jc w:val="both"/>
        <w:rPr>
          <w:rFonts w:eastAsia="Calibri" w:cs="Arial"/>
          <w:sz w:val="20"/>
        </w:rPr>
      </w:pPr>
      <w:r w:rsidRPr="00834F11">
        <w:rPr>
          <w:rFonts w:eastAsia="Calibri" w:cs="Arial"/>
          <w:sz w:val="20"/>
        </w:rPr>
        <w:t>Definirati i opisati akciju</w:t>
      </w:r>
    </w:p>
    <w:p w14:paraId="76C232E3" w14:textId="77777777" w:rsidR="0086114D" w:rsidRPr="00834F11" w:rsidRDefault="0086114D" w:rsidP="00896834">
      <w:pPr>
        <w:numPr>
          <w:ilvl w:val="0"/>
          <w:numId w:val="39"/>
        </w:numPr>
        <w:adjustRightInd w:val="0"/>
        <w:jc w:val="both"/>
        <w:rPr>
          <w:rFonts w:eastAsia="Calibri" w:cs="Arial"/>
          <w:sz w:val="20"/>
        </w:rPr>
      </w:pPr>
      <w:r w:rsidRPr="00834F11">
        <w:rPr>
          <w:rFonts w:eastAsia="Calibri" w:cs="Arial"/>
          <w:sz w:val="20"/>
        </w:rPr>
        <w:t>Planirati način provedbe akcije, rokove, odgovornosti napraviti Cost-benefit analizu</w:t>
      </w:r>
    </w:p>
    <w:p w14:paraId="1327187E" w14:textId="77777777" w:rsidR="0086114D" w:rsidRPr="00834F11" w:rsidRDefault="0086114D" w:rsidP="00896834">
      <w:pPr>
        <w:numPr>
          <w:ilvl w:val="0"/>
          <w:numId w:val="39"/>
        </w:numPr>
        <w:adjustRightInd w:val="0"/>
        <w:jc w:val="both"/>
        <w:rPr>
          <w:rFonts w:eastAsia="Calibri" w:cs="Arial"/>
          <w:sz w:val="20"/>
        </w:rPr>
      </w:pPr>
      <w:r w:rsidRPr="00834F11">
        <w:rPr>
          <w:rFonts w:eastAsia="Calibri" w:cs="Arial"/>
          <w:sz w:val="20"/>
        </w:rPr>
        <w:t>Procijeniti preostali rizik nakon provedbe akcije smanjenja</w:t>
      </w:r>
    </w:p>
    <w:p w14:paraId="5DE34E26" w14:textId="77777777" w:rsidR="0086114D" w:rsidRPr="00834F11" w:rsidRDefault="0086114D" w:rsidP="00896834">
      <w:pPr>
        <w:numPr>
          <w:ilvl w:val="0"/>
          <w:numId w:val="39"/>
        </w:numPr>
        <w:adjustRightInd w:val="0"/>
        <w:jc w:val="both"/>
        <w:rPr>
          <w:rFonts w:eastAsia="Calibri" w:cs="Arial"/>
          <w:sz w:val="20"/>
        </w:rPr>
      </w:pPr>
      <w:r w:rsidRPr="00834F11">
        <w:rPr>
          <w:rFonts w:eastAsia="Calibri" w:cs="Arial"/>
          <w:sz w:val="20"/>
        </w:rPr>
        <w:t>Ishoditi odobrenje za provedbu akcije smanjenja</w:t>
      </w:r>
    </w:p>
    <w:p w14:paraId="7439E05E" w14:textId="77777777" w:rsidR="0086114D" w:rsidRPr="00834F11" w:rsidRDefault="0086114D" w:rsidP="00896834">
      <w:pPr>
        <w:adjustRightInd w:val="0"/>
        <w:jc w:val="both"/>
        <w:rPr>
          <w:rFonts w:eastAsia="Calibri" w:cs="Arial"/>
          <w:sz w:val="20"/>
        </w:rPr>
      </w:pPr>
    </w:p>
    <w:p w14:paraId="6B616ACF" w14:textId="77777777" w:rsidR="0086114D" w:rsidRPr="00834F11" w:rsidRDefault="0086114D" w:rsidP="00896834">
      <w:pPr>
        <w:adjustRightInd w:val="0"/>
        <w:jc w:val="both"/>
        <w:rPr>
          <w:rFonts w:eastAsia="Calibri" w:cs="Arial"/>
          <w:sz w:val="20"/>
        </w:rPr>
      </w:pPr>
      <w:r w:rsidRPr="00834F11">
        <w:rPr>
          <w:rFonts w:eastAsia="Calibri" w:cs="Arial"/>
          <w:sz w:val="20"/>
        </w:rPr>
        <w:t>Ako preostali rizik nije bio smanjen na prihvatljivi nivo, postupak upravljanja rizikom se mora ponoviti da bi se identificirao način smanjenja preostalog rizika na prihvatljivi nivo.</w:t>
      </w:r>
    </w:p>
    <w:p w14:paraId="4C840964" w14:textId="006927E9" w:rsidR="00F6445B" w:rsidRPr="00834F11" w:rsidRDefault="00F6445B" w:rsidP="00896834">
      <w:pPr>
        <w:adjustRightInd w:val="0"/>
        <w:jc w:val="both"/>
        <w:rPr>
          <w:rFonts w:eastAsia="Calibri" w:cs="Arial"/>
          <w:sz w:val="23"/>
          <w:szCs w:val="23"/>
        </w:rPr>
      </w:pPr>
    </w:p>
    <w:p w14:paraId="531685B0" w14:textId="77777777" w:rsidR="004C1EFA" w:rsidRPr="00834F11" w:rsidRDefault="004C1EFA" w:rsidP="00896834">
      <w:pPr>
        <w:jc w:val="both"/>
        <w:rPr>
          <w:rFonts w:cs="Arial"/>
          <w:sz w:val="20"/>
        </w:rPr>
      </w:pPr>
      <w:r w:rsidRPr="00834F11">
        <w:rPr>
          <w:rFonts w:cs="Arial"/>
          <w:sz w:val="20"/>
        </w:rPr>
        <w:t>Tijekom analize rizika razmatraju se i prilike koje mogu dovesti do usvajanja novih postupaka, razvoja novih proizvoda, otvaranja novih tržišta, novih kupaca, uspostave partnerskih odnosa, korištenja novih tehnologija i drugih poželjnih i ostvarivih mogućnosti poduzimanja mjera povezanih sa utvrđenim zahtjevima zainteresiranih strana.</w:t>
      </w:r>
    </w:p>
    <w:p w14:paraId="22139E56" w14:textId="77777777" w:rsidR="004C1EFA" w:rsidRPr="00834F11" w:rsidRDefault="004C1EFA" w:rsidP="00896834">
      <w:pPr>
        <w:jc w:val="both"/>
        <w:rPr>
          <w:rFonts w:cs="Arial"/>
          <w:szCs w:val="22"/>
        </w:rPr>
      </w:pPr>
    </w:p>
    <w:p w14:paraId="65AE0435" w14:textId="2B2923B9" w:rsidR="004C1EFA" w:rsidRPr="00834F11" w:rsidRDefault="004C1EFA" w:rsidP="00896834">
      <w:pPr>
        <w:jc w:val="both"/>
        <w:rPr>
          <w:rFonts w:cs="Arial"/>
          <w:sz w:val="20"/>
        </w:rPr>
      </w:pPr>
      <w:r w:rsidRPr="00834F11">
        <w:rPr>
          <w:rFonts w:cs="Arial"/>
          <w:sz w:val="20"/>
        </w:rPr>
        <w:t>Rizici se razmatraju i prema potrebi revidiraju minimalno jedan put godišnje, te prilikom izmjena u procesu i okruženju, odnosno kada dođe do promjena koje mogu utjecati na rizik, priliku, odnosno utvrđene mjere.</w:t>
      </w:r>
    </w:p>
    <w:p w14:paraId="7183947D" w14:textId="77777777" w:rsidR="00D9289C" w:rsidRPr="00834F11" w:rsidRDefault="00D9289C" w:rsidP="00896834">
      <w:pPr>
        <w:jc w:val="both"/>
        <w:rPr>
          <w:rFonts w:cs="Arial"/>
          <w:sz w:val="20"/>
        </w:rPr>
      </w:pPr>
    </w:p>
    <w:p w14:paraId="5FE46395" w14:textId="77777777" w:rsidR="004C1EFA" w:rsidRPr="00834F11" w:rsidRDefault="004C1EFA" w:rsidP="00896834">
      <w:pPr>
        <w:jc w:val="both"/>
        <w:rPr>
          <w:rFonts w:cs="Arial"/>
          <w:sz w:val="20"/>
        </w:rPr>
      </w:pPr>
    </w:p>
    <w:p w14:paraId="57CD2E68" w14:textId="77777777" w:rsidR="004C1EFA" w:rsidRPr="00834F11" w:rsidRDefault="004C1EFA" w:rsidP="00D9289C">
      <w:pPr>
        <w:numPr>
          <w:ilvl w:val="2"/>
          <w:numId w:val="1"/>
        </w:numPr>
        <w:tabs>
          <w:tab w:val="clear" w:pos="2160"/>
          <w:tab w:val="num" w:pos="567"/>
        </w:tabs>
        <w:ind w:hanging="2160"/>
        <w:jc w:val="both"/>
        <w:rPr>
          <w:rFonts w:cs="Arial"/>
          <w:b/>
          <w:sz w:val="20"/>
        </w:rPr>
      </w:pPr>
      <w:r w:rsidRPr="00834F11">
        <w:rPr>
          <w:rFonts w:cs="Arial"/>
          <w:b/>
          <w:sz w:val="20"/>
        </w:rPr>
        <w:t>Tretman rizika</w:t>
      </w:r>
    </w:p>
    <w:p w14:paraId="757A3F78" w14:textId="77777777" w:rsidR="00A73D7C" w:rsidRPr="00834F11" w:rsidRDefault="00A73D7C" w:rsidP="00D9289C">
      <w:pPr>
        <w:jc w:val="both"/>
        <w:rPr>
          <w:rFonts w:cs="Arial"/>
          <w:sz w:val="20"/>
        </w:rPr>
      </w:pPr>
      <w:r w:rsidRPr="00834F11">
        <w:rPr>
          <w:rFonts w:cs="Arial"/>
          <w:sz w:val="20"/>
        </w:rPr>
        <w:lastRenderedPageBreak/>
        <w:t>Tretman rizika predstavlja reakciju na postojeći rizik, a cilj tretiranja rizika je umanjiti razinu rizika kroz više koraka upotrebom različitih alata na prihvatljivu razinu. Tretman mora biti temeljit, ali isplativ</w:t>
      </w:r>
      <w:r w:rsidR="00C009EA" w:rsidRPr="00834F11">
        <w:rPr>
          <w:rFonts w:cs="Arial"/>
          <w:sz w:val="20"/>
        </w:rPr>
        <w:t>.</w:t>
      </w:r>
    </w:p>
    <w:p w14:paraId="6DE1C9D0" w14:textId="77777777" w:rsidR="00C009EA" w:rsidRPr="00834F11" w:rsidRDefault="00C009EA" w:rsidP="00D9289C">
      <w:pPr>
        <w:jc w:val="both"/>
        <w:rPr>
          <w:rFonts w:cs="Arial"/>
          <w:sz w:val="20"/>
        </w:rPr>
      </w:pPr>
    </w:p>
    <w:p w14:paraId="0A082E12" w14:textId="77777777" w:rsidR="004C1EFA" w:rsidRPr="00834F11" w:rsidRDefault="004C1EFA" w:rsidP="00D9289C">
      <w:pPr>
        <w:jc w:val="both"/>
        <w:rPr>
          <w:rFonts w:cs="Arial"/>
          <w:sz w:val="20"/>
        </w:rPr>
      </w:pPr>
      <w:r w:rsidRPr="00834F11">
        <w:rPr>
          <w:rFonts w:cs="Arial"/>
          <w:sz w:val="20"/>
        </w:rPr>
        <w:t>Postoji veći broj opcija za tretman rizika. Opcije ne isključuju jedna drugu te se mogu kombinirati</w:t>
      </w:r>
      <w:r w:rsidR="00C009EA" w:rsidRPr="00834F11">
        <w:rPr>
          <w:rFonts w:cs="Arial"/>
          <w:sz w:val="20"/>
        </w:rPr>
        <w:t>, a n</w:t>
      </w:r>
      <w:r w:rsidRPr="00834F11">
        <w:rPr>
          <w:rFonts w:cs="Arial"/>
          <w:sz w:val="20"/>
        </w:rPr>
        <w:t>eke od opcija su:</w:t>
      </w:r>
    </w:p>
    <w:p w14:paraId="76DC259A" w14:textId="77777777" w:rsidR="004C1EFA" w:rsidRPr="00834F11" w:rsidRDefault="004C1EFA" w:rsidP="00D9289C">
      <w:pPr>
        <w:adjustRightInd w:val="0"/>
        <w:jc w:val="both"/>
        <w:rPr>
          <w:rFonts w:eastAsia="Calibri" w:cs="Arial"/>
          <w:color w:val="FF0000"/>
          <w:sz w:val="23"/>
          <w:szCs w:val="23"/>
        </w:rPr>
      </w:pPr>
    </w:p>
    <w:p w14:paraId="769B8691" w14:textId="77777777" w:rsidR="004C1EFA" w:rsidRPr="00834F11" w:rsidRDefault="004C1EFA" w:rsidP="00D9289C">
      <w:pPr>
        <w:numPr>
          <w:ilvl w:val="0"/>
          <w:numId w:val="34"/>
        </w:numPr>
        <w:adjustRightInd w:val="0"/>
        <w:jc w:val="both"/>
        <w:rPr>
          <w:rFonts w:eastAsia="Calibri" w:cs="Arial"/>
          <w:sz w:val="20"/>
        </w:rPr>
      </w:pPr>
      <w:r w:rsidRPr="00834F11">
        <w:rPr>
          <w:rFonts w:eastAsia="Calibri" w:cs="Arial"/>
          <w:sz w:val="20"/>
        </w:rPr>
        <w:t>Izbjegavanje rizika prekidanjem rizične radnje: najjednostavniji oblik upravljanja rizikom, odustajanje od procesa u kojem je prepoznat rizik</w:t>
      </w:r>
    </w:p>
    <w:p w14:paraId="4786722B" w14:textId="77777777" w:rsidR="004C1EFA" w:rsidRPr="00834F11" w:rsidRDefault="004C1EFA" w:rsidP="00D9289C">
      <w:pPr>
        <w:adjustRightInd w:val="0"/>
        <w:jc w:val="both"/>
        <w:rPr>
          <w:rFonts w:eastAsia="Calibri" w:cs="Arial"/>
          <w:sz w:val="20"/>
        </w:rPr>
      </w:pPr>
    </w:p>
    <w:p w14:paraId="0BD6C174" w14:textId="77777777" w:rsidR="004C1EFA" w:rsidRPr="00834F11" w:rsidRDefault="004C1EFA" w:rsidP="00D9289C">
      <w:pPr>
        <w:numPr>
          <w:ilvl w:val="0"/>
          <w:numId w:val="34"/>
        </w:numPr>
        <w:adjustRightInd w:val="0"/>
        <w:jc w:val="both"/>
        <w:rPr>
          <w:rFonts w:eastAsia="Calibri" w:cs="Arial"/>
          <w:sz w:val="20"/>
        </w:rPr>
      </w:pPr>
      <w:r w:rsidRPr="00834F11">
        <w:rPr>
          <w:rFonts w:eastAsia="Calibri" w:cs="Arial"/>
          <w:sz w:val="20"/>
        </w:rPr>
        <w:t>Prihvaćanje rizika kako bi se ostvario veći dobitak: kada je očekivani rezultat/profit procesa značajno veći od prihvaćenog rizika</w:t>
      </w:r>
    </w:p>
    <w:p w14:paraId="48C82CD9" w14:textId="77777777" w:rsidR="004C1EFA" w:rsidRPr="00834F11" w:rsidRDefault="004C1EFA" w:rsidP="00D9289C">
      <w:pPr>
        <w:adjustRightInd w:val="0"/>
        <w:jc w:val="both"/>
        <w:rPr>
          <w:rFonts w:eastAsia="Calibri" w:cs="Arial"/>
          <w:sz w:val="20"/>
        </w:rPr>
      </w:pPr>
    </w:p>
    <w:p w14:paraId="426D5307" w14:textId="77777777" w:rsidR="004C1EFA" w:rsidRPr="00834F11" w:rsidRDefault="004C1EFA" w:rsidP="00D9289C">
      <w:pPr>
        <w:numPr>
          <w:ilvl w:val="0"/>
          <w:numId w:val="34"/>
        </w:numPr>
        <w:adjustRightInd w:val="0"/>
        <w:jc w:val="both"/>
        <w:rPr>
          <w:rFonts w:eastAsia="Calibri" w:cs="Arial"/>
          <w:sz w:val="20"/>
        </w:rPr>
      </w:pPr>
      <w:r w:rsidRPr="00834F11">
        <w:rPr>
          <w:rFonts w:eastAsia="Calibri" w:cs="Arial"/>
          <w:sz w:val="20"/>
        </w:rPr>
        <w:t>Transfer rizika:</w:t>
      </w:r>
      <w:r w:rsidRPr="00834F11">
        <w:rPr>
          <w:rFonts w:eastAsia="Calibri" w:cs="Arial"/>
          <w:color w:val="FF0000"/>
          <w:sz w:val="20"/>
        </w:rPr>
        <w:t xml:space="preserve"> </w:t>
      </w:r>
      <w:r w:rsidRPr="00834F11">
        <w:rPr>
          <w:rFonts w:eastAsia="Calibri" w:cs="Arial"/>
          <w:sz w:val="20"/>
        </w:rPr>
        <w:t>šteta u slučaju ostvarenja rizika se prebacuju na treću stranu (npr. osiguravajuće kuće)</w:t>
      </w:r>
    </w:p>
    <w:p w14:paraId="77171758" w14:textId="77777777" w:rsidR="004C1EFA" w:rsidRPr="00834F11" w:rsidRDefault="004C1EFA" w:rsidP="00D9289C">
      <w:pPr>
        <w:adjustRightInd w:val="0"/>
        <w:jc w:val="both"/>
        <w:rPr>
          <w:rFonts w:eastAsia="Calibri" w:cs="Arial"/>
          <w:sz w:val="20"/>
        </w:rPr>
      </w:pPr>
    </w:p>
    <w:p w14:paraId="4BE78913" w14:textId="77777777" w:rsidR="004C1EFA" w:rsidRPr="00834F11" w:rsidRDefault="004C1EFA" w:rsidP="00D9289C">
      <w:pPr>
        <w:numPr>
          <w:ilvl w:val="0"/>
          <w:numId w:val="34"/>
        </w:numPr>
        <w:adjustRightInd w:val="0"/>
        <w:jc w:val="both"/>
        <w:rPr>
          <w:rFonts w:eastAsia="Calibri" w:cs="Arial"/>
          <w:sz w:val="20"/>
        </w:rPr>
      </w:pPr>
      <w:r w:rsidRPr="00834F11">
        <w:rPr>
          <w:rFonts w:eastAsia="Calibri" w:cs="Arial"/>
          <w:sz w:val="20"/>
        </w:rPr>
        <w:t>Umanjenje rizika: donošenjem promišljene odluke o načinu koji će osigurati smanjenje</w:t>
      </w:r>
      <w:r w:rsidR="00322713" w:rsidRPr="00834F11">
        <w:rPr>
          <w:rFonts w:eastAsia="Calibri" w:cs="Arial"/>
          <w:sz w:val="20"/>
        </w:rPr>
        <w:t xml:space="preserve"> </w:t>
      </w:r>
      <w:r w:rsidRPr="00834F11">
        <w:rPr>
          <w:rFonts w:eastAsia="Calibri" w:cs="Arial"/>
          <w:sz w:val="20"/>
        </w:rPr>
        <w:t>posljedice rizika koji se nikako ne mogu izbjeći.</w:t>
      </w:r>
      <w:r w:rsidR="00322713" w:rsidRPr="00834F11">
        <w:rPr>
          <w:rFonts w:eastAsia="Calibri" w:cs="Arial"/>
          <w:sz w:val="20"/>
        </w:rPr>
        <w:t xml:space="preserve"> </w:t>
      </w:r>
    </w:p>
    <w:p w14:paraId="0C826C5B" w14:textId="77777777" w:rsidR="00322713" w:rsidRPr="00834F11" w:rsidRDefault="00322713" w:rsidP="00D9289C">
      <w:pPr>
        <w:pStyle w:val="ListParagraph"/>
        <w:jc w:val="both"/>
        <w:rPr>
          <w:rFonts w:eastAsia="Calibri" w:cs="Arial"/>
          <w:lang w:val="hr-HR"/>
        </w:rPr>
      </w:pPr>
    </w:p>
    <w:p w14:paraId="0283995B" w14:textId="77777777" w:rsidR="00322713" w:rsidRPr="00834F11" w:rsidRDefault="00322713" w:rsidP="00D9289C">
      <w:pPr>
        <w:numPr>
          <w:ilvl w:val="0"/>
          <w:numId w:val="34"/>
        </w:numPr>
        <w:adjustRightInd w:val="0"/>
        <w:jc w:val="both"/>
        <w:rPr>
          <w:rFonts w:eastAsia="Calibri" w:cs="Arial"/>
          <w:sz w:val="20"/>
        </w:rPr>
      </w:pPr>
      <w:r w:rsidRPr="00834F11">
        <w:rPr>
          <w:rFonts w:eastAsia="Calibri" w:cs="Arial"/>
          <w:sz w:val="20"/>
        </w:rPr>
        <w:t xml:space="preserve">Kontrola rizika: provedba uobičajenih procedura i kontrola procesa  </w:t>
      </w:r>
    </w:p>
    <w:p w14:paraId="0D9EF7AD" w14:textId="77777777" w:rsidR="004C1EFA" w:rsidRPr="00834F11" w:rsidRDefault="004C1EFA" w:rsidP="00D9289C">
      <w:pPr>
        <w:adjustRightInd w:val="0"/>
        <w:jc w:val="both"/>
        <w:rPr>
          <w:rFonts w:eastAsia="Calibri" w:cs="Arial"/>
          <w:sz w:val="23"/>
          <w:szCs w:val="23"/>
        </w:rPr>
      </w:pPr>
    </w:p>
    <w:p w14:paraId="2690637F" w14:textId="77777777" w:rsidR="004C1EFA" w:rsidRPr="00834F11" w:rsidRDefault="004C1EFA" w:rsidP="00D9289C">
      <w:pPr>
        <w:jc w:val="both"/>
        <w:rPr>
          <w:rFonts w:cs="Arial"/>
          <w:sz w:val="20"/>
        </w:rPr>
      </w:pPr>
      <w:r w:rsidRPr="00834F11">
        <w:rPr>
          <w:rFonts w:cs="Arial"/>
          <w:sz w:val="20"/>
        </w:rPr>
        <w:t xml:space="preserve">Voditelji </w:t>
      </w:r>
      <w:r w:rsidR="00C009EA" w:rsidRPr="00834F11">
        <w:rPr>
          <w:rFonts w:cs="Arial"/>
          <w:sz w:val="20"/>
        </w:rPr>
        <w:t>službi/sektora</w:t>
      </w:r>
      <w:r w:rsidRPr="00834F11">
        <w:rPr>
          <w:rFonts w:cs="Arial"/>
          <w:sz w:val="20"/>
        </w:rPr>
        <w:t xml:space="preserve"> odgovorni su za</w:t>
      </w:r>
      <w:r w:rsidR="00C009EA" w:rsidRPr="00834F11">
        <w:rPr>
          <w:rFonts w:cs="Arial"/>
          <w:sz w:val="20"/>
        </w:rPr>
        <w:t xml:space="preserve"> </w:t>
      </w:r>
      <w:r w:rsidRPr="00834F11">
        <w:rPr>
          <w:rFonts w:cs="Arial"/>
          <w:sz w:val="20"/>
        </w:rPr>
        <w:t xml:space="preserve"> provođenje mjera utvrđenih analizom rizika, praćenje i izvje</w:t>
      </w:r>
      <w:r w:rsidR="00C009EA" w:rsidRPr="00834F11">
        <w:rPr>
          <w:rFonts w:cs="Arial"/>
          <w:sz w:val="20"/>
        </w:rPr>
        <w:t xml:space="preserve">štavanje o prilikama i rizicima, </w:t>
      </w:r>
      <w:r w:rsidRPr="00834F11">
        <w:rPr>
          <w:rFonts w:cs="Arial"/>
          <w:sz w:val="20"/>
        </w:rPr>
        <w:t xml:space="preserve">provedbi i </w:t>
      </w:r>
      <w:r w:rsidR="00C009EA" w:rsidRPr="00834F11">
        <w:rPr>
          <w:rFonts w:cs="Arial"/>
          <w:sz w:val="20"/>
        </w:rPr>
        <w:t>učinkovitosti definiranih mjera, te upoznavanje zaposlenika u svojoj službi/sektoru sa utvrđenim rizicima i tretmanima rizika.</w:t>
      </w:r>
    </w:p>
    <w:p w14:paraId="0C45B9BC" w14:textId="77777777" w:rsidR="004C1EFA" w:rsidRPr="00834F11" w:rsidRDefault="004C1EFA" w:rsidP="00D9289C">
      <w:pPr>
        <w:jc w:val="both"/>
        <w:rPr>
          <w:rFonts w:cs="Arial"/>
          <w:sz w:val="20"/>
        </w:rPr>
      </w:pPr>
    </w:p>
    <w:p w14:paraId="69F3166B" w14:textId="77777777" w:rsidR="00DB0A8A" w:rsidRPr="00834F11" w:rsidRDefault="00DB0A8A" w:rsidP="00D61087">
      <w:pPr>
        <w:rPr>
          <w:rFonts w:cs="Arial"/>
          <w:sz w:val="20"/>
        </w:rPr>
      </w:pPr>
    </w:p>
    <w:p w14:paraId="2DAFFEC2" w14:textId="77777777" w:rsidR="0073436C" w:rsidRPr="00834F11" w:rsidRDefault="0073436C" w:rsidP="00D61087">
      <w:pPr>
        <w:numPr>
          <w:ilvl w:val="0"/>
          <w:numId w:val="1"/>
        </w:numPr>
        <w:tabs>
          <w:tab w:val="clear" w:pos="2160"/>
          <w:tab w:val="num" w:pos="426"/>
        </w:tabs>
        <w:ind w:left="0" w:firstLine="0"/>
        <w:rPr>
          <w:rFonts w:cs="Arial"/>
          <w:b/>
          <w:sz w:val="20"/>
        </w:rPr>
      </w:pPr>
      <w:r w:rsidRPr="00834F11">
        <w:rPr>
          <w:rFonts w:cs="Arial"/>
          <w:b/>
          <w:bCs/>
          <w:sz w:val="20"/>
        </w:rPr>
        <w:t>POHRANJIVANJE</w:t>
      </w:r>
    </w:p>
    <w:tbl>
      <w:tblPr>
        <w:tblpPr w:leftFromText="180" w:rightFromText="180" w:vertAnchor="text" w:horzAnchor="margin" w:tblpY="92"/>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2710"/>
        <w:gridCol w:w="1425"/>
        <w:gridCol w:w="999"/>
        <w:gridCol w:w="1107"/>
        <w:gridCol w:w="1317"/>
        <w:gridCol w:w="1014"/>
      </w:tblGrid>
      <w:tr w:rsidR="00D324C1" w:rsidRPr="00834F11" w14:paraId="14055854" w14:textId="77777777" w:rsidTr="00760299">
        <w:trPr>
          <w:trHeight w:val="265"/>
          <w:tblHeader/>
        </w:trPr>
        <w:tc>
          <w:tcPr>
            <w:tcW w:w="3817" w:type="dxa"/>
            <w:gridSpan w:val="2"/>
            <w:vAlign w:val="center"/>
          </w:tcPr>
          <w:p w14:paraId="53CD23EE" w14:textId="77777777" w:rsidR="00D324C1" w:rsidRPr="00834F11" w:rsidRDefault="00D324C1" w:rsidP="00D61087">
            <w:pPr>
              <w:pStyle w:val="Heading1"/>
              <w:tabs>
                <w:tab w:val="num" w:pos="0"/>
              </w:tabs>
              <w:spacing w:before="40" w:after="40"/>
              <w:rPr>
                <w:rFonts w:cs="Arial"/>
                <w:b/>
                <w:bCs/>
                <w:i w:val="0"/>
                <w:sz w:val="16"/>
                <w:szCs w:val="16"/>
              </w:rPr>
            </w:pPr>
            <w:r w:rsidRPr="00834F11">
              <w:rPr>
                <w:rFonts w:cs="Arial"/>
                <w:b/>
                <w:bCs/>
                <w:i w:val="0"/>
                <w:sz w:val="16"/>
                <w:szCs w:val="16"/>
              </w:rPr>
              <w:t>ZAPIS</w:t>
            </w:r>
          </w:p>
        </w:tc>
        <w:tc>
          <w:tcPr>
            <w:tcW w:w="3531" w:type="dxa"/>
            <w:gridSpan w:val="3"/>
            <w:vAlign w:val="center"/>
          </w:tcPr>
          <w:p w14:paraId="7FE837ED" w14:textId="77777777" w:rsidR="00D324C1" w:rsidRPr="00834F11" w:rsidRDefault="00D324C1" w:rsidP="00D61087">
            <w:pPr>
              <w:tabs>
                <w:tab w:val="num" w:pos="0"/>
              </w:tabs>
              <w:spacing w:before="40" w:after="40"/>
              <w:rPr>
                <w:rFonts w:cs="Arial"/>
                <w:b/>
                <w:sz w:val="16"/>
                <w:szCs w:val="16"/>
              </w:rPr>
            </w:pPr>
            <w:r w:rsidRPr="00834F11">
              <w:rPr>
                <w:rFonts w:cs="Arial"/>
                <w:b/>
                <w:sz w:val="16"/>
                <w:szCs w:val="16"/>
              </w:rPr>
              <w:t>ODGOVORNOSTI</w:t>
            </w:r>
          </w:p>
        </w:tc>
        <w:tc>
          <w:tcPr>
            <w:tcW w:w="2331" w:type="dxa"/>
            <w:gridSpan w:val="2"/>
            <w:vAlign w:val="center"/>
          </w:tcPr>
          <w:p w14:paraId="0AB67078" w14:textId="77777777" w:rsidR="00D324C1" w:rsidRPr="00834F11" w:rsidRDefault="00D324C1" w:rsidP="00D61087">
            <w:pPr>
              <w:tabs>
                <w:tab w:val="num" w:pos="0"/>
              </w:tabs>
              <w:spacing w:before="40" w:after="40"/>
              <w:rPr>
                <w:rFonts w:cs="Arial"/>
                <w:b/>
                <w:sz w:val="16"/>
                <w:szCs w:val="16"/>
              </w:rPr>
            </w:pPr>
            <w:r w:rsidRPr="00834F11">
              <w:rPr>
                <w:rFonts w:cs="Arial"/>
                <w:b/>
                <w:sz w:val="16"/>
                <w:szCs w:val="16"/>
              </w:rPr>
              <w:t>POHRANJIVANJE</w:t>
            </w:r>
          </w:p>
        </w:tc>
      </w:tr>
      <w:tr w:rsidR="00D324C1" w:rsidRPr="00834F11" w14:paraId="3B884538" w14:textId="77777777" w:rsidTr="00DB0A8A">
        <w:trPr>
          <w:cantSplit/>
          <w:trHeight w:val="315"/>
          <w:tblHeader/>
        </w:trPr>
        <w:tc>
          <w:tcPr>
            <w:tcW w:w="1107" w:type="dxa"/>
            <w:tcBorders>
              <w:bottom w:val="single" w:sz="4" w:space="0" w:color="auto"/>
            </w:tcBorders>
            <w:vAlign w:val="center"/>
          </w:tcPr>
          <w:p w14:paraId="2C1A52DA" w14:textId="77777777" w:rsidR="00D324C1" w:rsidRPr="00834F11" w:rsidRDefault="00D324C1" w:rsidP="00D61087">
            <w:pPr>
              <w:tabs>
                <w:tab w:val="num" w:pos="0"/>
              </w:tabs>
              <w:spacing w:before="40" w:after="40"/>
              <w:rPr>
                <w:rFonts w:cs="Arial"/>
                <w:b/>
                <w:sz w:val="16"/>
                <w:szCs w:val="16"/>
              </w:rPr>
            </w:pPr>
            <w:r w:rsidRPr="00834F11">
              <w:rPr>
                <w:rFonts w:cs="Arial"/>
                <w:b/>
                <w:sz w:val="16"/>
                <w:szCs w:val="16"/>
              </w:rPr>
              <w:t>Oznaka</w:t>
            </w:r>
          </w:p>
        </w:tc>
        <w:tc>
          <w:tcPr>
            <w:tcW w:w="2710" w:type="dxa"/>
            <w:tcBorders>
              <w:bottom w:val="single" w:sz="4" w:space="0" w:color="auto"/>
            </w:tcBorders>
            <w:vAlign w:val="center"/>
          </w:tcPr>
          <w:p w14:paraId="08E941DA" w14:textId="77777777" w:rsidR="00D324C1" w:rsidRPr="00834F11" w:rsidRDefault="00D324C1" w:rsidP="00D61087">
            <w:pPr>
              <w:pStyle w:val="Heading1"/>
              <w:tabs>
                <w:tab w:val="num" w:pos="0"/>
              </w:tabs>
              <w:spacing w:before="40" w:after="40"/>
              <w:rPr>
                <w:rFonts w:cs="Arial"/>
                <w:b/>
                <w:i w:val="0"/>
                <w:sz w:val="16"/>
                <w:szCs w:val="16"/>
              </w:rPr>
            </w:pPr>
            <w:r w:rsidRPr="00834F11">
              <w:rPr>
                <w:rFonts w:cs="Arial"/>
                <w:b/>
                <w:i w:val="0"/>
                <w:sz w:val="16"/>
                <w:szCs w:val="16"/>
              </w:rPr>
              <w:t>Naziv</w:t>
            </w:r>
          </w:p>
        </w:tc>
        <w:tc>
          <w:tcPr>
            <w:tcW w:w="1425" w:type="dxa"/>
            <w:tcBorders>
              <w:bottom w:val="single" w:sz="4" w:space="0" w:color="auto"/>
            </w:tcBorders>
            <w:vAlign w:val="center"/>
          </w:tcPr>
          <w:p w14:paraId="778FF4B3" w14:textId="77777777" w:rsidR="00D324C1" w:rsidRPr="00834F11" w:rsidRDefault="00D324C1" w:rsidP="00D61087">
            <w:pPr>
              <w:tabs>
                <w:tab w:val="num" w:pos="0"/>
              </w:tabs>
              <w:spacing w:before="40" w:after="40"/>
              <w:rPr>
                <w:rFonts w:cs="Arial"/>
                <w:b/>
                <w:sz w:val="16"/>
                <w:szCs w:val="16"/>
              </w:rPr>
            </w:pPr>
            <w:r w:rsidRPr="00834F11">
              <w:rPr>
                <w:rFonts w:cs="Arial"/>
                <w:b/>
                <w:sz w:val="16"/>
                <w:szCs w:val="16"/>
              </w:rPr>
              <w:t>Izrađuje</w:t>
            </w:r>
          </w:p>
        </w:tc>
        <w:tc>
          <w:tcPr>
            <w:tcW w:w="999" w:type="dxa"/>
            <w:tcBorders>
              <w:bottom w:val="single" w:sz="4" w:space="0" w:color="auto"/>
            </w:tcBorders>
            <w:vAlign w:val="center"/>
          </w:tcPr>
          <w:p w14:paraId="68AB732E" w14:textId="77777777" w:rsidR="00D324C1" w:rsidRPr="00834F11" w:rsidRDefault="00D324C1" w:rsidP="00D61087">
            <w:pPr>
              <w:tabs>
                <w:tab w:val="num" w:pos="0"/>
              </w:tabs>
              <w:spacing w:before="40" w:after="40"/>
              <w:rPr>
                <w:rFonts w:cs="Arial"/>
                <w:b/>
                <w:sz w:val="16"/>
                <w:szCs w:val="16"/>
              </w:rPr>
            </w:pPr>
            <w:r w:rsidRPr="00834F11">
              <w:rPr>
                <w:rFonts w:cs="Arial"/>
                <w:b/>
                <w:sz w:val="16"/>
                <w:szCs w:val="16"/>
              </w:rPr>
              <w:t>Kontrolira</w:t>
            </w:r>
          </w:p>
        </w:tc>
        <w:tc>
          <w:tcPr>
            <w:tcW w:w="1107" w:type="dxa"/>
            <w:tcBorders>
              <w:bottom w:val="single" w:sz="4" w:space="0" w:color="auto"/>
            </w:tcBorders>
            <w:vAlign w:val="center"/>
          </w:tcPr>
          <w:p w14:paraId="146EAB2B" w14:textId="77777777" w:rsidR="00D324C1" w:rsidRPr="00834F11" w:rsidRDefault="00D324C1" w:rsidP="00D61087">
            <w:pPr>
              <w:pStyle w:val="Header"/>
              <w:tabs>
                <w:tab w:val="num" w:pos="0"/>
              </w:tabs>
              <w:spacing w:before="40" w:after="40"/>
              <w:rPr>
                <w:rFonts w:cs="Arial"/>
                <w:b/>
                <w:bCs/>
                <w:sz w:val="16"/>
                <w:szCs w:val="16"/>
              </w:rPr>
            </w:pPr>
            <w:r w:rsidRPr="00834F11">
              <w:rPr>
                <w:rFonts w:cs="Arial"/>
                <w:b/>
                <w:bCs/>
                <w:sz w:val="16"/>
                <w:szCs w:val="16"/>
              </w:rPr>
              <w:t>Odobrava</w:t>
            </w:r>
          </w:p>
        </w:tc>
        <w:tc>
          <w:tcPr>
            <w:tcW w:w="1317" w:type="dxa"/>
            <w:tcBorders>
              <w:bottom w:val="single" w:sz="4" w:space="0" w:color="auto"/>
            </w:tcBorders>
            <w:vAlign w:val="center"/>
          </w:tcPr>
          <w:p w14:paraId="74A942F8" w14:textId="77777777" w:rsidR="00D324C1" w:rsidRPr="00834F11" w:rsidRDefault="00D324C1" w:rsidP="00D61087">
            <w:pPr>
              <w:tabs>
                <w:tab w:val="num" w:pos="0"/>
              </w:tabs>
              <w:spacing w:before="40" w:after="40"/>
              <w:rPr>
                <w:rFonts w:cs="Arial"/>
                <w:b/>
                <w:sz w:val="16"/>
                <w:szCs w:val="16"/>
              </w:rPr>
            </w:pPr>
            <w:r w:rsidRPr="00834F11">
              <w:rPr>
                <w:rFonts w:cs="Arial"/>
                <w:b/>
                <w:sz w:val="16"/>
                <w:szCs w:val="16"/>
              </w:rPr>
              <w:t>Mjesto</w:t>
            </w:r>
          </w:p>
        </w:tc>
        <w:tc>
          <w:tcPr>
            <w:tcW w:w="1014" w:type="dxa"/>
            <w:vAlign w:val="center"/>
          </w:tcPr>
          <w:p w14:paraId="1C7B26B2" w14:textId="77777777" w:rsidR="00D324C1" w:rsidRPr="00834F11" w:rsidRDefault="00D324C1" w:rsidP="00D61087">
            <w:pPr>
              <w:tabs>
                <w:tab w:val="num" w:pos="0"/>
              </w:tabs>
              <w:spacing w:before="40" w:after="40"/>
              <w:rPr>
                <w:rFonts w:cs="Arial"/>
                <w:b/>
                <w:sz w:val="16"/>
                <w:szCs w:val="16"/>
              </w:rPr>
            </w:pPr>
            <w:r w:rsidRPr="00834F11">
              <w:rPr>
                <w:rFonts w:cs="Arial"/>
                <w:b/>
                <w:sz w:val="16"/>
                <w:szCs w:val="16"/>
              </w:rPr>
              <w:t>Vrijeme čuvanja</w:t>
            </w:r>
          </w:p>
        </w:tc>
      </w:tr>
      <w:tr w:rsidR="00D324C1" w:rsidRPr="00834F11" w14:paraId="4AEDBD12" w14:textId="77777777" w:rsidTr="00DB0A8A">
        <w:trPr>
          <w:cantSplit/>
          <w:trHeight w:val="72"/>
        </w:trPr>
        <w:tc>
          <w:tcPr>
            <w:tcW w:w="1107" w:type="dxa"/>
            <w:tcBorders>
              <w:left w:val="single" w:sz="4" w:space="0" w:color="auto"/>
              <w:right w:val="single" w:sz="4" w:space="0" w:color="auto"/>
            </w:tcBorders>
            <w:vAlign w:val="center"/>
          </w:tcPr>
          <w:p w14:paraId="75D444EA" w14:textId="77777777" w:rsidR="00D324C1" w:rsidRPr="00834F11" w:rsidRDefault="00D324C1" w:rsidP="00D61087">
            <w:pPr>
              <w:rPr>
                <w:rFonts w:cs="Arial"/>
                <w:sz w:val="16"/>
                <w:szCs w:val="16"/>
              </w:rPr>
            </w:pPr>
            <w:r w:rsidRPr="00834F11">
              <w:rPr>
                <w:rFonts w:cs="Arial"/>
                <w:sz w:val="16"/>
                <w:szCs w:val="16"/>
              </w:rPr>
              <w:t>--------------</w:t>
            </w:r>
          </w:p>
        </w:tc>
        <w:tc>
          <w:tcPr>
            <w:tcW w:w="2710" w:type="dxa"/>
            <w:tcBorders>
              <w:left w:val="single" w:sz="4" w:space="0" w:color="auto"/>
              <w:right w:val="single" w:sz="4" w:space="0" w:color="auto"/>
            </w:tcBorders>
            <w:vAlign w:val="center"/>
          </w:tcPr>
          <w:p w14:paraId="6B64C176" w14:textId="77777777" w:rsidR="00D324C1" w:rsidRPr="00834F11" w:rsidRDefault="00DB0A8A" w:rsidP="00D61087">
            <w:pPr>
              <w:rPr>
                <w:rFonts w:cs="Arial"/>
                <w:sz w:val="16"/>
                <w:szCs w:val="16"/>
              </w:rPr>
            </w:pPr>
            <w:r w:rsidRPr="00834F11">
              <w:rPr>
                <w:rFonts w:cs="Arial"/>
                <w:sz w:val="16"/>
                <w:szCs w:val="16"/>
              </w:rPr>
              <w:t>Opseg sustava upravljanja i kontekst organizacije</w:t>
            </w:r>
          </w:p>
        </w:tc>
        <w:tc>
          <w:tcPr>
            <w:tcW w:w="1425" w:type="dxa"/>
            <w:tcBorders>
              <w:left w:val="single" w:sz="4" w:space="0" w:color="auto"/>
              <w:right w:val="single" w:sz="4" w:space="0" w:color="auto"/>
            </w:tcBorders>
            <w:vAlign w:val="center"/>
          </w:tcPr>
          <w:p w14:paraId="135EC0D5" w14:textId="77777777" w:rsidR="00D324C1" w:rsidRPr="00834F11" w:rsidRDefault="00DB0A8A" w:rsidP="00D61087">
            <w:pPr>
              <w:rPr>
                <w:rFonts w:cs="Arial"/>
                <w:sz w:val="16"/>
                <w:szCs w:val="16"/>
              </w:rPr>
            </w:pPr>
            <w:r w:rsidRPr="00834F11">
              <w:rPr>
                <w:rFonts w:cs="Arial"/>
                <w:sz w:val="16"/>
                <w:szCs w:val="16"/>
              </w:rPr>
              <w:t>Uprava, Voditelji službi/ sektora</w:t>
            </w:r>
          </w:p>
        </w:tc>
        <w:tc>
          <w:tcPr>
            <w:tcW w:w="999" w:type="dxa"/>
            <w:tcBorders>
              <w:left w:val="single" w:sz="4" w:space="0" w:color="auto"/>
              <w:right w:val="single" w:sz="4" w:space="0" w:color="auto"/>
            </w:tcBorders>
            <w:vAlign w:val="center"/>
          </w:tcPr>
          <w:p w14:paraId="351873B0" w14:textId="77777777" w:rsidR="00D324C1" w:rsidRPr="00834F11" w:rsidRDefault="00626BB6" w:rsidP="00D61087">
            <w:pPr>
              <w:rPr>
                <w:rFonts w:cs="Arial"/>
                <w:sz w:val="16"/>
                <w:szCs w:val="16"/>
              </w:rPr>
            </w:pPr>
            <w:r w:rsidRPr="00834F11">
              <w:rPr>
                <w:rFonts w:cs="Arial"/>
                <w:sz w:val="16"/>
                <w:szCs w:val="16"/>
              </w:rPr>
              <w:t>QM</w:t>
            </w:r>
          </w:p>
        </w:tc>
        <w:tc>
          <w:tcPr>
            <w:tcW w:w="1107" w:type="dxa"/>
            <w:tcBorders>
              <w:left w:val="single" w:sz="4" w:space="0" w:color="auto"/>
              <w:right w:val="single" w:sz="4" w:space="0" w:color="auto"/>
            </w:tcBorders>
            <w:vAlign w:val="center"/>
          </w:tcPr>
          <w:p w14:paraId="061AE548" w14:textId="77777777" w:rsidR="00D324C1" w:rsidRPr="00834F11" w:rsidRDefault="00DB0A8A" w:rsidP="00D61087">
            <w:pPr>
              <w:rPr>
                <w:rFonts w:cs="Arial"/>
                <w:sz w:val="16"/>
                <w:szCs w:val="16"/>
              </w:rPr>
            </w:pPr>
            <w:r w:rsidRPr="00834F11">
              <w:rPr>
                <w:rFonts w:cs="Arial"/>
                <w:sz w:val="16"/>
                <w:szCs w:val="16"/>
              </w:rPr>
              <w:t>Uprava</w:t>
            </w:r>
          </w:p>
        </w:tc>
        <w:tc>
          <w:tcPr>
            <w:tcW w:w="1317" w:type="dxa"/>
            <w:tcBorders>
              <w:left w:val="single" w:sz="4" w:space="0" w:color="auto"/>
            </w:tcBorders>
            <w:vAlign w:val="center"/>
          </w:tcPr>
          <w:p w14:paraId="50DAB36D" w14:textId="77777777" w:rsidR="00D324C1" w:rsidRPr="00834F11" w:rsidRDefault="00D324C1" w:rsidP="00D61087">
            <w:pPr>
              <w:rPr>
                <w:rFonts w:cs="Arial"/>
                <w:sz w:val="16"/>
                <w:szCs w:val="16"/>
              </w:rPr>
            </w:pPr>
            <w:r w:rsidRPr="00834F11">
              <w:rPr>
                <w:rFonts w:cs="Arial"/>
                <w:sz w:val="16"/>
                <w:szCs w:val="16"/>
              </w:rPr>
              <w:t>QM</w:t>
            </w:r>
            <w:r w:rsidR="00DB0A8A" w:rsidRPr="00834F11">
              <w:rPr>
                <w:rFonts w:cs="Arial"/>
                <w:sz w:val="16"/>
                <w:szCs w:val="16"/>
              </w:rPr>
              <w:t>, Uprava</w:t>
            </w:r>
          </w:p>
        </w:tc>
        <w:tc>
          <w:tcPr>
            <w:tcW w:w="1014" w:type="dxa"/>
            <w:vAlign w:val="center"/>
          </w:tcPr>
          <w:p w14:paraId="7122463E" w14:textId="77777777" w:rsidR="00D324C1" w:rsidRPr="00834F11" w:rsidRDefault="00D324C1" w:rsidP="00D61087">
            <w:pPr>
              <w:rPr>
                <w:rFonts w:cs="Arial"/>
                <w:sz w:val="16"/>
                <w:szCs w:val="16"/>
              </w:rPr>
            </w:pPr>
            <w:r w:rsidRPr="00834F11">
              <w:rPr>
                <w:rFonts w:cs="Arial"/>
                <w:sz w:val="16"/>
                <w:szCs w:val="16"/>
              </w:rPr>
              <w:t>Zadnji važeći</w:t>
            </w:r>
          </w:p>
        </w:tc>
      </w:tr>
      <w:tr w:rsidR="00DB0A8A" w:rsidRPr="00834F11" w14:paraId="302E9EAD" w14:textId="77777777" w:rsidTr="00DB0A8A">
        <w:trPr>
          <w:cantSplit/>
          <w:trHeight w:val="72"/>
        </w:trPr>
        <w:tc>
          <w:tcPr>
            <w:tcW w:w="1107" w:type="dxa"/>
            <w:tcBorders>
              <w:left w:val="single" w:sz="4" w:space="0" w:color="auto"/>
              <w:right w:val="single" w:sz="4" w:space="0" w:color="auto"/>
            </w:tcBorders>
            <w:vAlign w:val="center"/>
          </w:tcPr>
          <w:p w14:paraId="1D7B41D2" w14:textId="77777777" w:rsidR="00DB0A8A" w:rsidRPr="00834F11" w:rsidRDefault="00DB0A8A" w:rsidP="00D61087">
            <w:pPr>
              <w:rPr>
                <w:rFonts w:cs="Arial"/>
                <w:sz w:val="16"/>
                <w:szCs w:val="16"/>
              </w:rPr>
            </w:pPr>
            <w:r w:rsidRPr="00834F11">
              <w:rPr>
                <w:rFonts w:cs="Arial"/>
                <w:sz w:val="16"/>
                <w:szCs w:val="16"/>
              </w:rPr>
              <w:t>OB-SU-12</w:t>
            </w:r>
          </w:p>
        </w:tc>
        <w:tc>
          <w:tcPr>
            <w:tcW w:w="2710" w:type="dxa"/>
            <w:tcBorders>
              <w:left w:val="single" w:sz="4" w:space="0" w:color="auto"/>
              <w:right w:val="single" w:sz="4" w:space="0" w:color="auto"/>
            </w:tcBorders>
            <w:vAlign w:val="center"/>
          </w:tcPr>
          <w:p w14:paraId="1C98C672" w14:textId="77777777" w:rsidR="00DB0A8A" w:rsidRPr="00834F11" w:rsidRDefault="00DB0A8A" w:rsidP="00D61087">
            <w:pPr>
              <w:rPr>
                <w:rFonts w:cs="Arial"/>
                <w:sz w:val="16"/>
                <w:szCs w:val="16"/>
              </w:rPr>
            </w:pPr>
            <w:r w:rsidRPr="00834F11">
              <w:rPr>
                <w:rFonts w:cs="Arial"/>
                <w:sz w:val="16"/>
                <w:szCs w:val="16"/>
              </w:rPr>
              <w:t xml:space="preserve">Zainteresirane strane i upravljanje rizicima </w:t>
            </w:r>
          </w:p>
        </w:tc>
        <w:tc>
          <w:tcPr>
            <w:tcW w:w="1425" w:type="dxa"/>
            <w:tcBorders>
              <w:left w:val="single" w:sz="4" w:space="0" w:color="auto"/>
              <w:right w:val="single" w:sz="4" w:space="0" w:color="auto"/>
            </w:tcBorders>
            <w:vAlign w:val="center"/>
          </w:tcPr>
          <w:p w14:paraId="2C01BCE3" w14:textId="77777777" w:rsidR="00DB0A8A" w:rsidRPr="00834F11" w:rsidRDefault="00DB0A8A" w:rsidP="00D61087">
            <w:pPr>
              <w:rPr>
                <w:rFonts w:cs="Arial"/>
                <w:sz w:val="16"/>
                <w:szCs w:val="16"/>
              </w:rPr>
            </w:pPr>
            <w:r w:rsidRPr="00834F11">
              <w:rPr>
                <w:rFonts w:cs="Arial"/>
                <w:sz w:val="16"/>
                <w:szCs w:val="16"/>
              </w:rPr>
              <w:t>Uprava, Voditelji službi/ sektora</w:t>
            </w:r>
          </w:p>
        </w:tc>
        <w:tc>
          <w:tcPr>
            <w:tcW w:w="999" w:type="dxa"/>
            <w:tcBorders>
              <w:left w:val="single" w:sz="4" w:space="0" w:color="auto"/>
              <w:right w:val="single" w:sz="4" w:space="0" w:color="auto"/>
            </w:tcBorders>
            <w:vAlign w:val="center"/>
          </w:tcPr>
          <w:p w14:paraId="59B81027" w14:textId="77777777" w:rsidR="00DB0A8A" w:rsidRPr="00834F11" w:rsidRDefault="00DB0A8A" w:rsidP="00D61087">
            <w:pPr>
              <w:rPr>
                <w:rFonts w:cs="Arial"/>
                <w:sz w:val="16"/>
                <w:szCs w:val="16"/>
              </w:rPr>
            </w:pPr>
            <w:r w:rsidRPr="00834F11">
              <w:rPr>
                <w:rFonts w:cs="Arial"/>
                <w:sz w:val="16"/>
                <w:szCs w:val="16"/>
              </w:rPr>
              <w:t>QM</w:t>
            </w:r>
          </w:p>
        </w:tc>
        <w:tc>
          <w:tcPr>
            <w:tcW w:w="1107" w:type="dxa"/>
            <w:tcBorders>
              <w:left w:val="single" w:sz="4" w:space="0" w:color="auto"/>
              <w:right w:val="single" w:sz="4" w:space="0" w:color="auto"/>
            </w:tcBorders>
            <w:vAlign w:val="center"/>
          </w:tcPr>
          <w:p w14:paraId="05509125" w14:textId="77777777" w:rsidR="00DB0A8A" w:rsidRPr="00834F11" w:rsidRDefault="00DB0A8A" w:rsidP="00D61087">
            <w:pPr>
              <w:rPr>
                <w:rFonts w:cs="Arial"/>
                <w:sz w:val="16"/>
                <w:szCs w:val="16"/>
              </w:rPr>
            </w:pPr>
            <w:r w:rsidRPr="00834F11">
              <w:rPr>
                <w:rFonts w:cs="Arial"/>
                <w:sz w:val="16"/>
                <w:szCs w:val="16"/>
              </w:rPr>
              <w:t>Uprava</w:t>
            </w:r>
          </w:p>
        </w:tc>
        <w:tc>
          <w:tcPr>
            <w:tcW w:w="1317" w:type="dxa"/>
            <w:tcBorders>
              <w:left w:val="single" w:sz="4" w:space="0" w:color="auto"/>
            </w:tcBorders>
            <w:vAlign w:val="center"/>
          </w:tcPr>
          <w:p w14:paraId="7EDCFE45" w14:textId="77777777" w:rsidR="00DB0A8A" w:rsidRPr="00834F11" w:rsidRDefault="00DB0A8A" w:rsidP="00D61087">
            <w:pPr>
              <w:rPr>
                <w:rFonts w:cs="Arial"/>
                <w:sz w:val="16"/>
                <w:szCs w:val="16"/>
              </w:rPr>
            </w:pPr>
            <w:r w:rsidRPr="00834F11">
              <w:rPr>
                <w:rFonts w:cs="Arial"/>
                <w:sz w:val="16"/>
                <w:szCs w:val="16"/>
              </w:rPr>
              <w:t>QM,  Voditelji službi/ sektora, Uprava</w:t>
            </w:r>
          </w:p>
        </w:tc>
        <w:tc>
          <w:tcPr>
            <w:tcW w:w="1014" w:type="dxa"/>
            <w:vAlign w:val="center"/>
          </w:tcPr>
          <w:p w14:paraId="7F13A85B" w14:textId="77777777" w:rsidR="00DB0A8A" w:rsidRPr="00834F11" w:rsidRDefault="00DB0A8A" w:rsidP="00D61087">
            <w:pPr>
              <w:rPr>
                <w:rFonts w:cs="Arial"/>
                <w:sz w:val="16"/>
                <w:szCs w:val="16"/>
              </w:rPr>
            </w:pPr>
            <w:r w:rsidRPr="00834F11">
              <w:rPr>
                <w:rFonts w:cs="Arial"/>
                <w:sz w:val="16"/>
                <w:szCs w:val="16"/>
              </w:rPr>
              <w:t>Zadnji važeći</w:t>
            </w:r>
          </w:p>
        </w:tc>
      </w:tr>
      <w:tr w:rsidR="00322713" w:rsidRPr="00834F11" w14:paraId="1148E074" w14:textId="77777777" w:rsidTr="00DB0A8A">
        <w:trPr>
          <w:cantSplit/>
          <w:trHeight w:val="72"/>
        </w:trPr>
        <w:tc>
          <w:tcPr>
            <w:tcW w:w="1107" w:type="dxa"/>
            <w:tcBorders>
              <w:left w:val="single" w:sz="4" w:space="0" w:color="auto"/>
              <w:right w:val="single" w:sz="4" w:space="0" w:color="auto"/>
            </w:tcBorders>
            <w:vAlign w:val="center"/>
          </w:tcPr>
          <w:p w14:paraId="078A10D1" w14:textId="77777777" w:rsidR="00322713" w:rsidRPr="00834F11" w:rsidRDefault="00322713" w:rsidP="00D61087">
            <w:pPr>
              <w:rPr>
                <w:rFonts w:cs="Arial"/>
                <w:sz w:val="16"/>
                <w:szCs w:val="16"/>
              </w:rPr>
            </w:pPr>
            <w:r w:rsidRPr="00834F11">
              <w:rPr>
                <w:rFonts w:cs="Arial"/>
                <w:sz w:val="16"/>
                <w:szCs w:val="16"/>
              </w:rPr>
              <w:t xml:space="preserve">OB-SU-01     </w:t>
            </w:r>
          </w:p>
        </w:tc>
        <w:tc>
          <w:tcPr>
            <w:tcW w:w="2710" w:type="dxa"/>
            <w:tcBorders>
              <w:left w:val="single" w:sz="4" w:space="0" w:color="auto"/>
              <w:right w:val="single" w:sz="4" w:space="0" w:color="auto"/>
            </w:tcBorders>
            <w:vAlign w:val="center"/>
          </w:tcPr>
          <w:p w14:paraId="56B3DDB8" w14:textId="77777777" w:rsidR="00322713" w:rsidRPr="00834F11" w:rsidRDefault="00322713" w:rsidP="00D61087">
            <w:pPr>
              <w:rPr>
                <w:rFonts w:cs="Arial"/>
                <w:sz w:val="16"/>
                <w:szCs w:val="16"/>
              </w:rPr>
            </w:pPr>
            <w:r w:rsidRPr="00834F11">
              <w:rPr>
                <w:rFonts w:cs="Arial"/>
                <w:sz w:val="16"/>
                <w:szCs w:val="16"/>
              </w:rPr>
              <w:t>Popis  sustavskih dokumenata</w:t>
            </w:r>
          </w:p>
        </w:tc>
        <w:tc>
          <w:tcPr>
            <w:tcW w:w="1425" w:type="dxa"/>
            <w:tcBorders>
              <w:left w:val="single" w:sz="4" w:space="0" w:color="auto"/>
              <w:right w:val="single" w:sz="4" w:space="0" w:color="auto"/>
            </w:tcBorders>
            <w:vAlign w:val="center"/>
          </w:tcPr>
          <w:p w14:paraId="4D4DB3BC" w14:textId="77777777" w:rsidR="00322713" w:rsidRPr="00834F11" w:rsidRDefault="00322713" w:rsidP="00D61087">
            <w:pPr>
              <w:rPr>
                <w:rFonts w:cs="Arial"/>
                <w:sz w:val="16"/>
                <w:szCs w:val="16"/>
              </w:rPr>
            </w:pPr>
            <w:r w:rsidRPr="00834F11">
              <w:rPr>
                <w:rFonts w:cs="Arial"/>
                <w:sz w:val="16"/>
                <w:szCs w:val="16"/>
              </w:rPr>
              <w:t>QM</w:t>
            </w:r>
          </w:p>
        </w:tc>
        <w:tc>
          <w:tcPr>
            <w:tcW w:w="999" w:type="dxa"/>
            <w:tcBorders>
              <w:left w:val="single" w:sz="4" w:space="0" w:color="auto"/>
              <w:right w:val="single" w:sz="4" w:space="0" w:color="auto"/>
            </w:tcBorders>
            <w:vAlign w:val="center"/>
          </w:tcPr>
          <w:p w14:paraId="38F50F9C" w14:textId="77777777" w:rsidR="00322713" w:rsidRPr="00834F11" w:rsidRDefault="00322713" w:rsidP="00D61087">
            <w:pPr>
              <w:rPr>
                <w:rFonts w:cs="Arial"/>
                <w:sz w:val="16"/>
                <w:szCs w:val="16"/>
              </w:rPr>
            </w:pPr>
            <w:r w:rsidRPr="00834F11">
              <w:rPr>
                <w:rFonts w:cs="Arial"/>
                <w:sz w:val="16"/>
                <w:szCs w:val="16"/>
              </w:rPr>
              <w:t>QM</w:t>
            </w:r>
          </w:p>
        </w:tc>
        <w:tc>
          <w:tcPr>
            <w:tcW w:w="1107" w:type="dxa"/>
            <w:tcBorders>
              <w:left w:val="single" w:sz="4" w:space="0" w:color="auto"/>
              <w:right w:val="single" w:sz="4" w:space="0" w:color="auto"/>
            </w:tcBorders>
            <w:vAlign w:val="center"/>
          </w:tcPr>
          <w:p w14:paraId="2C64A51F" w14:textId="77777777" w:rsidR="00322713" w:rsidRPr="00834F11" w:rsidRDefault="00322713" w:rsidP="00D61087">
            <w:pPr>
              <w:rPr>
                <w:rFonts w:cs="Arial"/>
                <w:sz w:val="16"/>
                <w:szCs w:val="16"/>
              </w:rPr>
            </w:pPr>
            <w:r w:rsidRPr="00834F11">
              <w:rPr>
                <w:rFonts w:cs="Arial"/>
                <w:sz w:val="16"/>
                <w:szCs w:val="16"/>
              </w:rPr>
              <w:t>QM</w:t>
            </w:r>
          </w:p>
        </w:tc>
        <w:tc>
          <w:tcPr>
            <w:tcW w:w="1317" w:type="dxa"/>
            <w:tcBorders>
              <w:left w:val="single" w:sz="4" w:space="0" w:color="auto"/>
            </w:tcBorders>
            <w:vAlign w:val="center"/>
          </w:tcPr>
          <w:p w14:paraId="2C1F5ABF" w14:textId="77777777" w:rsidR="00322713" w:rsidRPr="00834F11" w:rsidRDefault="00322713" w:rsidP="00D61087">
            <w:pPr>
              <w:rPr>
                <w:rFonts w:cs="Arial"/>
                <w:sz w:val="16"/>
                <w:szCs w:val="16"/>
              </w:rPr>
            </w:pPr>
            <w:r w:rsidRPr="00834F11">
              <w:rPr>
                <w:rFonts w:cs="Arial"/>
                <w:sz w:val="16"/>
                <w:szCs w:val="16"/>
              </w:rPr>
              <w:t>QM</w:t>
            </w:r>
          </w:p>
        </w:tc>
        <w:tc>
          <w:tcPr>
            <w:tcW w:w="1014" w:type="dxa"/>
            <w:vAlign w:val="center"/>
          </w:tcPr>
          <w:p w14:paraId="49E92BFA" w14:textId="77777777" w:rsidR="00322713" w:rsidRPr="00834F11" w:rsidRDefault="00322713" w:rsidP="00D61087">
            <w:pPr>
              <w:rPr>
                <w:rFonts w:cs="Arial"/>
                <w:sz w:val="16"/>
                <w:szCs w:val="16"/>
              </w:rPr>
            </w:pPr>
            <w:r w:rsidRPr="00834F11">
              <w:rPr>
                <w:rFonts w:cs="Arial"/>
                <w:sz w:val="16"/>
                <w:szCs w:val="16"/>
              </w:rPr>
              <w:t>Zadnji važeći</w:t>
            </w:r>
          </w:p>
        </w:tc>
      </w:tr>
      <w:tr w:rsidR="00322713" w:rsidRPr="00834F11" w14:paraId="466A6E36" w14:textId="77777777" w:rsidTr="00DB0A8A">
        <w:trPr>
          <w:cantSplit/>
          <w:trHeight w:val="72"/>
        </w:trPr>
        <w:tc>
          <w:tcPr>
            <w:tcW w:w="1107" w:type="dxa"/>
            <w:tcBorders>
              <w:left w:val="single" w:sz="4" w:space="0" w:color="auto"/>
              <w:right w:val="single" w:sz="4" w:space="0" w:color="auto"/>
            </w:tcBorders>
            <w:vAlign w:val="center"/>
          </w:tcPr>
          <w:p w14:paraId="33D77252" w14:textId="77777777" w:rsidR="00322713" w:rsidRPr="00834F11" w:rsidRDefault="00322713" w:rsidP="00D61087">
            <w:pPr>
              <w:rPr>
                <w:rFonts w:cs="Arial"/>
                <w:sz w:val="16"/>
                <w:szCs w:val="16"/>
              </w:rPr>
            </w:pPr>
            <w:r w:rsidRPr="00834F11">
              <w:rPr>
                <w:rFonts w:cs="Arial"/>
                <w:sz w:val="16"/>
                <w:szCs w:val="16"/>
              </w:rPr>
              <w:t>OB-IFS-01</w:t>
            </w:r>
          </w:p>
        </w:tc>
        <w:tc>
          <w:tcPr>
            <w:tcW w:w="2710" w:type="dxa"/>
            <w:tcBorders>
              <w:left w:val="single" w:sz="4" w:space="0" w:color="auto"/>
              <w:right w:val="single" w:sz="4" w:space="0" w:color="auto"/>
            </w:tcBorders>
            <w:vAlign w:val="center"/>
          </w:tcPr>
          <w:p w14:paraId="6B4985C2" w14:textId="77777777" w:rsidR="00322713" w:rsidRPr="00834F11" w:rsidRDefault="00322713" w:rsidP="00D61087">
            <w:pPr>
              <w:rPr>
                <w:rFonts w:cs="Arial"/>
                <w:sz w:val="16"/>
                <w:szCs w:val="16"/>
              </w:rPr>
            </w:pPr>
            <w:r w:rsidRPr="00834F11">
              <w:rPr>
                <w:rFonts w:cs="Arial"/>
                <w:sz w:val="16"/>
                <w:szCs w:val="16"/>
              </w:rPr>
              <w:t>Analiza rizika i plan upravljanja rizicima</w:t>
            </w:r>
          </w:p>
        </w:tc>
        <w:tc>
          <w:tcPr>
            <w:tcW w:w="1425" w:type="dxa"/>
            <w:tcBorders>
              <w:left w:val="single" w:sz="4" w:space="0" w:color="auto"/>
              <w:right w:val="single" w:sz="4" w:space="0" w:color="auto"/>
            </w:tcBorders>
            <w:vAlign w:val="center"/>
          </w:tcPr>
          <w:p w14:paraId="7E9D58BC" w14:textId="77777777" w:rsidR="00322713" w:rsidRPr="00834F11" w:rsidRDefault="00322713" w:rsidP="00D61087">
            <w:pPr>
              <w:rPr>
                <w:rFonts w:cs="Arial"/>
                <w:sz w:val="16"/>
                <w:szCs w:val="16"/>
              </w:rPr>
            </w:pPr>
            <w:r w:rsidRPr="00834F11">
              <w:rPr>
                <w:rFonts w:cs="Arial"/>
                <w:sz w:val="16"/>
                <w:szCs w:val="16"/>
              </w:rPr>
              <w:t>QM/VHT</w:t>
            </w:r>
          </w:p>
        </w:tc>
        <w:tc>
          <w:tcPr>
            <w:tcW w:w="999" w:type="dxa"/>
            <w:tcBorders>
              <w:left w:val="single" w:sz="4" w:space="0" w:color="auto"/>
              <w:right w:val="single" w:sz="4" w:space="0" w:color="auto"/>
            </w:tcBorders>
            <w:vAlign w:val="center"/>
          </w:tcPr>
          <w:p w14:paraId="75622ED6" w14:textId="77777777" w:rsidR="00322713" w:rsidRPr="00834F11" w:rsidRDefault="00322713" w:rsidP="00D61087">
            <w:pPr>
              <w:rPr>
                <w:rFonts w:cs="Arial"/>
                <w:sz w:val="16"/>
                <w:szCs w:val="16"/>
              </w:rPr>
            </w:pPr>
            <w:r w:rsidRPr="00834F11">
              <w:rPr>
                <w:rFonts w:cs="Arial"/>
                <w:sz w:val="16"/>
                <w:szCs w:val="16"/>
              </w:rPr>
              <w:t>VHT/DD</w:t>
            </w:r>
          </w:p>
        </w:tc>
        <w:tc>
          <w:tcPr>
            <w:tcW w:w="1107" w:type="dxa"/>
            <w:tcBorders>
              <w:left w:val="single" w:sz="4" w:space="0" w:color="auto"/>
              <w:right w:val="single" w:sz="4" w:space="0" w:color="auto"/>
            </w:tcBorders>
            <w:vAlign w:val="center"/>
          </w:tcPr>
          <w:p w14:paraId="52ABC266" w14:textId="77777777" w:rsidR="00322713" w:rsidRPr="00834F11" w:rsidRDefault="00322713" w:rsidP="00D61087">
            <w:pPr>
              <w:rPr>
                <w:rFonts w:cs="Arial"/>
                <w:sz w:val="16"/>
                <w:szCs w:val="16"/>
              </w:rPr>
            </w:pPr>
            <w:r w:rsidRPr="00834F11">
              <w:rPr>
                <w:rFonts w:cs="Arial"/>
                <w:sz w:val="16"/>
                <w:szCs w:val="16"/>
              </w:rPr>
              <w:t>QM</w:t>
            </w:r>
          </w:p>
        </w:tc>
        <w:tc>
          <w:tcPr>
            <w:tcW w:w="1317" w:type="dxa"/>
            <w:tcBorders>
              <w:left w:val="single" w:sz="4" w:space="0" w:color="auto"/>
            </w:tcBorders>
            <w:vAlign w:val="center"/>
          </w:tcPr>
          <w:p w14:paraId="224DAA3C" w14:textId="77777777" w:rsidR="00322713" w:rsidRPr="00834F11" w:rsidRDefault="00322713" w:rsidP="00D61087">
            <w:pPr>
              <w:rPr>
                <w:rFonts w:cs="Arial"/>
                <w:sz w:val="16"/>
                <w:szCs w:val="16"/>
              </w:rPr>
            </w:pPr>
            <w:r w:rsidRPr="00834F11">
              <w:rPr>
                <w:rFonts w:cs="Arial"/>
                <w:sz w:val="16"/>
                <w:szCs w:val="16"/>
              </w:rPr>
              <w:t>QM</w:t>
            </w:r>
          </w:p>
        </w:tc>
        <w:tc>
          <w:tcPr>
            <w:tcW w:w="1014" w:type="dxa"/>
            <w:vAlign w:val="center"/>
          </w:tcPr>
          <w:p w14:paraId="188877D9" w14:textId="77777777" w:rsidR="00322713" w:rsidRPr="00834F11" w:rsidRDefault="00322713" w:rsidP="00D61087">
            <w:pPr>
              <w:rPr>
                <w:rFonts w:cs="Arial"/>
                <w:sz w:val="16"/>
                <w:szCs w:val="16"/>
              </w:rPr>
            </w:pPr>
            <w:r w:rsidRPr="00834F11">
              <w:rPr>
                <w:rFonts w:cs="Arial"/>
                <w:sz w:val="16"/>
                <w:szCs w:val="16"/>
              </w:rPr>
              <w:t>Zadnje važeće</w:t>
            </w:r>
          </w:p>
        </w:tc>
      </w:tr>
    </w:tbl>
    <w:p w14:paraId="7C12F829" w14:textId="77777777" w:rsidR="00C009EA" w:rsidRPr="00834F11" w:rsidRDefault="00C009EA" w:rsidP="00D61087">
      <w:pPr>
        <w:tabs>
          <w:tab w:val="num" w:pos="426"/>
        </w:tabs>
        <w:rPr>
          <w:rFonts w:cs="Arial"/>
          <w:sz w:val="20"/>
        </w:rPr>
      </w:pPr>
    </w:p>
    <w:p w14:paraId="7EC74855" w14:textId="68B554D7" w:rsidR="00BD5EDF" w:rsidRPr="00834F11" w:rsidRDefault="0073436C" w:rsidP="00D61087">
      <w:pPr>
        <w:tabs>
          <w:tab w:val="num" w:pos="426"/>
        </w:tabs>
        <w:rPr>
          <w:rFonts w:cs="Arial"/>
          <w:color w:val="FF0000"/>
          <w:sz w:val="20"/>
        </w:rPr>
      </w:pPr>
      <w:r w:rsidRPr="00834F11">
        <w:rPr>
          <w:rFonts w:cs="Arial"/>
          <w:sz w:val="20"/>
        </w:rPr>
        <w:t>Ovaj Postupak  pohranjuje: QM</w:t>
      </w:r>
      <w:r w:rsidR="00850C34" w:rsidRPr="00834F11">
        <w:rPr>
          <w:rFonts w:cs="Arial"/>
          <w:sz w:val="20"/>
        </w:rPr>
        <w:t xml:space="preserve">, </w:t>
      </w:r>
      <w:r w:rsidR="006402A9" w:rsidRPr="00834F11">
        <w:rPr>
          <w:rFonts w:cs="Arial"/>
          <w:sz w:val="20"/>
        </w:rPr>
        <w:t>DN</w:t>
      </w:r>
      <w:r w:rsidR="00850C34" w:rsidRPr="00834F11">
        <w:rPr>
          <w:rFonts w:cs="Arial"/>
          <w:sz w:val="20"/>
        </w:rPr>
        <w:t xml:space="preserve">, </w:t>
      </w:r>
      <w:r w:rsidR="006402A9" w:rsidRPr="00834F11">
        <w:rPr>
          <w:rFonts w:cs="Arial"/>
          <w:sz w:val="20"/>
        </w:rPr>
        <w:t>D</w:t>
      </w:r>
      <w:r w:rsidR="00D818DA" w:rsidRPr="00834F11">
        <w:rPr>
          <w:rFonts w:cs="Arial"/>
          <w:sz w:val="20"/>
        </w:rPr>
        <w:t>V</w:t>
      </w:r>
      <w:r w:rsidR="006402A9" w:rsidRPr="00834F11">
        <w:rPr>
          <w:rFonts w:cs="Arial"/>
          <w:sz w:val="20"/>
        </w:rPr>
        <w:t>P</w:t>
      </w:r>
      <w:r w:rsidR="00850C34" w:rsidRPr="00834F11">
        <w:rPr>
          <w:rFonts w:cs="Arial"/>
          <w:sz w:val="20"/>
        </w:rPr>
        <w:t xml:space="preserve">, </w:t>
      </w:r>
      <w:r w:rsidR="006362C5" w:rsidRPr="00834F11">
        <w:rPr>
          <w:rFonts w:cs="Arial"/>
          <w:sz w:val="20"/>
        </w:rPr>
        <w:t>V</w:t>
      </w:r>
      <w:r w:rsidR="001702B7" w:rsidRPr="00834F11">
        <w:rPr>
          <w:rFonts w:cs="Arial"/>
          <w:sz w:val="20"/>
        </w:rPr>
        <w:t>LJR</w:t>
      </w:r>
      <w:r w:rsidR="00850C34" w:rsidRPr="00834F11">
        <w:rPr>
          <w:rFonts w:cs="Arial"/>
          <w:sz w:val="20"/>
        </w:rPr>
        <w:t xml:space="preserve">, </w:t>
      </w:r>
      <w:r w:rsidR="006402A9" w:rsidRPr="00834F11">
        <w:rPr>
          <w:rFonts w:cs="Arial"/>
          <w:sz w:val="20"/>
        </w:rPr>
        <w:t>DL</w:t>
      </w:r>
      <w:r w:rsidR="00850C34" w:rsidRPr="00834F11">
        <w:rPr>
          <w:rFonts w:cs="Arial"/>
          <w:sz w:val="20"/>
        </w:rPr>
        <w:t xml:space="preserve">, </w:t>
      </w:r>
      <w:r w:rsidR="006402A9" w:rsidRPr="00834F11">
        <w:rPr>
          <w:rFonts w:cs="Arial"/>
          <w:sz w:val="20"/>
        </w:rPr>
        <w:t>DPR</w:t>
      </w:r>
      <w:r w:rsidR="00834F11">
        <w:rPr>
          <w:rFonts w:cs="Arial"/>
          <w:sz w:val="20"/>
        </w:rPr>
        <w:t xml:space="preserve">, </w:t>
      </w:r>
      <w:r w:rsidR="00834F11" w:rsidRPr="00834F11">
        <w:rPr>
          <w:rFonts w:cs="Arial"/>
          <w:i/>
          <w:iCs/>
          <w:sz w:val="20"/>
        </w:rPr>
        <w:t>VSIZ</w:t>
      </w:r>
      <w:r w:rsidR="003B5BE9" w:rsidRPr="00834F11">
        <w:rPr>
          <w:rFonts w:cs="Arial"/>
          <w:sz w:val="20"/>
        </w:rPr>
        <w:t>.</w:t>
      </w:r>
    </w:p>
    <w:p w14:paraId="3E2EE66E" w14:textId="77777777" w:rsidR="00EB3F6C" w:rsidRPr="00834F11" w:rsidRDefault="00EB3F6C" w:rsidP="00D61087">
      <w:pPr>
        <w:tabs>
          <w:tab w:val="num" w:pos="426"/>
        </w:tabs>
        <w:rPr>
          <w:rFonts w:cs="Arial"/>
          <w:sz w:val="2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544"/>
      </w:tblGrid>
      <w:tr w:rsidR="004542F7" w:rsidRPr="00834F11" w14:paraId="084D3CFD" w14:textId="77777777" w:rsidTr="004542F7">
        <w:tc>
          <w:tcPr>
            <w:tcW w:w="3085" w:type="dxa"/>
          </w:tcPr>
          <w:p w14:paraId="284AE60D" w14:textId="77777777" w:rsidR="004542F7" w:rsidRPr="00834F11" w:rsidRDefault="00EB3F6C" w:rsidP="00D61087">
            <w:pPr>
              <w:pStyle w:val="Footer"/>
              <w:rPr>
                <w:rFonts w:cs="Arial"/>
                <w:sz w:val="20"/>
              </w:rPr>
            </w:pPr>
            <w:r w:rsidRPr="00834F11">
              <w:rPr>
                <w:rFonts w:cs="Arial"/>
                <w:sz w:val="20"/>
              </w:rPr>
              <w:t>I</w:t>
            </w:r>
            <w:r w:rsidR="004542F7" w:rsidRPr="00834F11">
              <w:rPr>
                <w:rFonts w:cs="Arial"/>
                <w:sz w:val="20"/>
              </w:rPr>
              <w:t xml:space="preserve">zradio: </w:t>
            </w:r>
            <w:r w:rsidR="004542F7" w:rsidRPr="00834F11">
              <w:rPr>
                <w:rFonts w:cs="Arial"/>
                <w:b/>
                <w:sz w:val="20"/>
              </w:rPr>
              <w:t>Nevenka Vatavuk</w:t>
            </w:r>
            <w:r w:rsidR="004542F7" w:rsidRPr="00834F11">
              <w:rPr>
                <w:rFonts w:cs="Arial"/>
                <w:sz w:val="20"/>
              </w:rPr>
              <w:t>, QM</w:t>
            </w:r>
          </w:p>
          <w:p w14:paraId="5C683D43" w14:textId="77777777" w:rsidR="004542F7" w:rsidRPr="00834F11" w:rsidRDefault="004542F7" w:rsidP="00D61087">
            <w:pPr>
              <w:pStyle w:val="Footer"/>
              <w:rPr>
                <w:rFonts w:cs="Arial"/>
                <w:sz w:val="20"/>
              </w:rPr>
            </w:pPr>
          </w:p>
          <w:p w14:paraId="26032A8D" w14:textId="77777777" w:rsidR="004542F7" w:rsidRPr="00834F11" w:rsidRDefault="004542F7" w:rsidP="00D61087">
            <w:pPr>
              <w:pStyle w:val="Footer"/>
              <w:rPr>
                <w:rFonts w:cs="Arial"/>
                <w:sz w:val="20"/>
              </w:rPr>
            </w:pPr>
          </w:p>
        </w:tc>
        <w:tc>
          <w:tcPr>
            <w:tcW w:w="3119" w:type="dxa"/>
          </w:tcPr>
          <w:p w14:paraId="62843CAF" w14:textId="77777777" w:rsidR="004542F7" w:rsidRPr="00834F11" w:rsidRDefault="004542F7" w:rsidP="00D61087">
            <w:pPr>
              <w:pStyle w:val="Footer"/>
              <w:rPr>
                <w:rFonts w:cs="Arial"/>
                <w:sz w:val="20"/>
              </w:rPr>
            </w:pPr>
            <w:r w:rsidRPr="00834F11">
              <w:rPr>
                <w:rFonts w:cs="Arial"/>
                <w:sz w:val="20"/>
              </w:rPr>
              <w:t>Kontrolirao:</w:t>
            </w:r>
            <w:r w:rsidRPr="00834F11">
              <w:rPr>
                <w:rFonts w:cs="Arial"/>
                <w:b/>
                <w:sz w:val="20"/>
              </w:rPr>
              <w:t xml:space="preserve"> Nevenka Vatavuk</w:t>
            </w:r>
            <w:r w:rsidRPr="00834F11">
              <w:rPr>
                <w:rFonts w:cs="Arial"/>
                <w:sz w:val="20"/>
              </w:rPr>
              <w:t>, QM</w:t>
            </w:r>
          </w:p>
        </w:tc>
        <w:tc>
          <w:tcPr>
            <w:tcW w:w="3544" w:type="dxa"/>
          </w:tcPr>
          <w:p w14:paraId="06190123" w14:textId="77777777" w:rsidR="004542F7" w:rsidRPr="00834F11" w:rsidRDefault="004542F7" w:rsidP="00D61087">
            <w:pPr>
              <w:tabs>
                <w:tab w:val="left" w:pos="3465"/>
              </w:tabs>
              <w:rPr>
                <w:rFonts w:cs="Arial"/>
                <w:sz w:val="20"/>
              </w:rPr>
            </w:pPr>
            <w:r w:rsidRPr="00834F11">
              <w:rPr>
                <w:rFonts w:cs="Arial"/>
                <w:sz w:val="20"/>
              </w:rPr>
              <w:t xml:space="preserve">Odobrio: </w:t>
            </w:r>
            <w:r w:rsidR="00F8589E" w:rsidRPr="00834F11">
              <w:rPr>
                <w:rFonts w:cs="Arial"/>
                <w:b/>
                <w:sz w:val="20"/>
              </w:rPr>
              <w:t>Nevenka Vatavuk</w:t>
            </w:r>
            <w:r w:rsidR="00F8589E" w:rsidRPr="00834F11">
              <w:rPr>
                <w:rFonts w:cs="Arial"/>
                <w:sz w:val="20"/>
              </w:rPr>
              <w:t xml:space="preserve">, QM </w:t>
            </w:r>
          </w:p>
        </w:tc>
      </w:tr>
    </w:tbl>
    <w:p w14:paraId="16295BE7" w14:textId="49F9F005" w:rsidR="0073436C" w:rsidRPr="00834F11" w:rsidRDefault="0073436C" w:rsidP="00D61087"/>
    <w:sectPr w:rsidR="0073436C" w:rsidRPr="00834F11" w:rsidSect="00326F4B">
      <w:headerReference w:type="default" r:id="rId8"/>
      <w:pgSz w:w="11906" w:h="16838" w:code="9"/>
      <w:pgMar w:top="851" w:right="991" w:bottom="993" w:left="1418" w:header="42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A6CE" w14:textId="77777777" w:rsidR="004970E5" w:rsidRDefault="004970E5">
      <w:r>
        <w:separator/>
      </w:r>
    </w:p>
  </w:endnote>
  <w:endnote w:type="continuationSeparator" w:id="0">
    <w:p w14:paraId="5C5F2463" w14:textId="77777777" w:rsidR="004970E5" w:rsidRDefault="0049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4E7F" w14:textId="77777777" w:rsidR="004970E5" w:rsidRDefault="004970E5">
      <w:r>
        <w:separator/>
      </w:r>
    </w:p>
  </w:footnote>
  <w:footnote w:type="continuationSeparator" w:id="0">
    <w:p w14:paraId="2303988F" w14:textId="77777777" w:rsidR="004970E5" w:rsidRDefault="00497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CC70" w14:textId="77777777" w:rsidR="00C654C1" w:rsidRDefault="00C654C1">
    <w:pPr>
      <w:pStyle w:val="Header"/>
      <w:rPr>
        <w:rFonts w:cs="Arial"/>
      </w:rPr>
    </w:pPr>
  </w:p>
  <w:tbl>
    <w:tblPr>
      <w:tblW w:w="95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915"/>
      <w:gridCol w:w="3901"/>
      <w:gridCol w:w="1344"/>
      <w:gridCol w:w="1356"/>
    </w:tblGrid>
    <w:tr w:rsidR="00C654C1" w14:paraId="0295A746" w14:textId="77777777" w:rsidTr="00326994">
      <w:trPr>
        <w:cantSplit/>
        <w:trHeight w:val="515"/>
      </w:trPr>
      <w:tc>
        <w:tcPr>
          <w:tcW w:w="2915" w:type="dxa"/>
          <w:vMerge w:val="restart"/>
          <w:vAlign w:val="center"/>
        </w:tcPr>
        <w:p w14:paraId="0A55E857" w14:textId="77777777" w:rsidR="00C654C1" w:rsidRDefault="00000000" w:rsidP="00A875F0">
          <w:pPr>
            <w:spacing w:before="120" w:after="120"/>
            <w:jc w:val="center"/>
            <w:rPr>
              <w:sz w:val="28"/>
            </w:rPr>
          </w:pPr>
          <w:r>
            <w:pict w14:anchorId="11297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5pt;height:21.95pt;mso-position-horizontal:right;mso-position-horizontal-relative:margin;mso-position-vertical:bottom;mso-position-vertical-relative:margin">
                <v:imagedata r:id="rId1" o:title="image002" gain="1.25"/>
              </v:shape>
            </w:pict>
          </w:r>
        </w:p>
      </w:tc>
      <w:tc>
        <w:tcPr>
          <w:tcW w:w="3901" w:type="dxa"/>
          <w:vMerge w:val="restart"/>
          <w:tcBorders>
            <w:right w:val="single" w:sz="2" w:space="0" w:color="auto"/>
          </w:tcBorders>
          <w:vAlign w:val="center"/>
        </w:tcPr>
        <w:p w14:paraId="1CBF0AA1" w14:textId="77777777" w:rsidR="00C654C1" w:rsidRPr="00692C25" w:rsidRDefault="00BD160E" w:rsidP="00BD160E">
          <w:pPr>
            <w:jc w:val="center"/>
            <w:rPr>
              <w:rFonts w:cs="Arial"/>
              <w:b/>
              <w:sz w:val="28"/>
              <w:szCs w:val="28"/>
            </w:rPr>
          </w:pPr>
          <w:r>
            <w:rPr>
              <w:rFonts w:cs="Arial"/>
              <w:b/>
              <w:sz w:val="28"/>
              <w:szCs w:val="28"/>
            </w:rPr>
            <w:t>KONTEKST ORGANIZACIJE I UPRAVLJANJE RIZICIMA</w:t>
          </w:r>
          <w:r w:rsidR="00C654C1">
            <w:rPr>
              <w:b/>
              <w:sz w:val="28"/>
              <w:szCs w:val="28"/>
            </w:rPr>
            <w:t xml:space="preserve"> </w:t>
          </w:r>
        </w:p>
      </w:tc>
      <w:tc>
        <w:tcPr>
          <w:tcW w:w="2700" w:type="dxa"/>
          <w:gridSpan w:val="2"/>
          <w:tcBorders>
            <w:left w:val="single" w:sz="2" w:space="0" w:color="auto"/>
          </w:tcBorders>
        </w:tcPr>
        <w:p w14:paraId="68077EBA" w14:textId="77777777" w:rsidR="00C654C1" w:rsidRPr="00850C34" w:rsidRDefault="00C654C1" w:rsidP="00291D47">
          <w:pPr>
            <w:pStyle w:val="Heading3"/>
            <w:numPr>
              <w:ilvl w:val="0"/>
              <w:numId w:val="0"/>
            </w:numPr>
            <w:spacing w:after="120"/>
            <w:rPr>
              <w:rFonts w:cs="Arial"/>
              <w:sz w:val="20"/>
            </w:rPr>
          </w:pPr>
          <w:r w:rsidRPr="00850C34">
            <w:rPr>
              <w:rFonts w:cs="Arial"/>
              <w:sz w:val="20"/>
            </w:rPr>
            <w:t>PO-SU-</w:t>
          </w:r>
          <w:r w:rsidR="00291D47" w:rsidRPr="00850C34">
            <w:rPr>
              <w:rFonts w:cs="Arial"/>
              <w:sz w:val="20"/>
            </w:rPr>
            <w:t>15</w:t>
          </w:r>
        </w:p>
      </w:tc>
    </w:tr>
    <w:tr w:rsidR="00C654C1" w14:paraId="00A622F4" w14:textId="77777777" w:rsidTr="00436C9A">
      <w:trPr>
        <w:cantSplit/>
        <w:trHeight w:val="498"/>
      </w:trPr>
      <w:tc>
        <w:tcPr>
          <w:tcW w:w="2915" w:type="dxa"/>
          <w:vMerge/>
        </w:tcPr>
        <w:p w14:paraId="423EEC04" w14:textId="77777777" w:rsidR="00C654C1" w:rsidRDefault="00C654C1" w:rsidP="00A875F0">
          <w:pPr>
            <w:spacing w:before="120" w:after="120"/>
          </w:pPr>
        </w:p>
      </w:tc>
      <w:tc>
        <w:tcPr>
          <w:tcW w:w="3901" w:type="dxa"/>
          <w:vMerge/>
          <w:tcBorders>
            <w:right w:val="single" w:sz="2" w:space="0" w:color="auto"/>
          </w:tcBorders>
        </w:tcPr>
        <w:p w14:paraId="02F12928" w14:textId="77777777" w:rsidR="00C654C1" w:rsidRPr="00692C25" w:rsidRDefault="00C654C1" w:rsidP="00A875F0">
          <w:pPr>
            <w:pStyle w:val="Heading3"/>
            <w:spacing w:after="120"/>
            <w:rPr>
              <w:rFonts w:cs="Arial"/>
            </w:rPr>
          </w:pPr>
        </w:p>
      </w:tc>
      <w:tc>
        <w:tcPr>
          <w:tcW w:w="1344" w:type="dxa"/>
          <w:tcBorders>
            <w:left w:val="single" w:sz="2" w:space="0" w:color="auto"/>
            <w:right w:val="single" w:sz="2" w:space="0" w:color="auto"/>
          </w:tcBorders>
        </w:tcPr>
        <w:p w14:paraId="78C48386" w14:textId="4B2DBDB5" w:rsidR="00C654C1" w:rsidRPr="0057048B" w:rsidRDefault="00272A4C" w:rsidP="00A875F0">
          <w:pPr>
            <w:pStyle w:val="Heading3"/>
            <w:numPr>
              <w:ilvl w:val="0"/>
              <w:numId w:val="0"/>
            </w:numPr>
            <w:spacing w:after="120"/>
            <w:ind w:left="720" w:hanging="720"/>
            <w:rPr>
              <w:rStyle w:val="PageNumber"/>
              <w:rFonts w:cs="Arial"/>
              <w:b w:val="0"/>
              <w:snapToGrid w:val="0"/>
              <w:sz w:val="20"/>
            </w:rPr>
          </w:pPr>
          <w:r>
            <w:rPr>
              <w:rStyle w:val="PageNumber"/>
              <w:rFonts w:cs="Arial"/>
              <w:b w:val="0"/>
              <w:snapToGrid w:val="0"/>
              <w:sz w:val="20"/>
            </w:rPr>
            <w:t xml:space="preserve">Revizija: </w:t>
          </w:r>
          <w:r w:rsidR="000C6A6D">
            <w:rPr>
              <w:rStyle w:val="PageNumber"/>
              <w:rFonts w:cs="Arial"/>
              <w:b w:val="0"/>
              <w:snapToGrid w:val="0"/>
              <w:sz w:val="20"/>
            </w:rPr>
            <w:t>4</w:t>
          </w:r>
        </w:p>
      </w:tc>
      <w:tc>
        <w:tcPr>
          <w:tcW w:w="1356" w:type="dxa"/>
          <w:tcBorders>
            <w:left w:val="single" w:sz="2" w:space="0" w:color="auto"/>
          </w:tcBorders>
        </w:tcPr>
        <w:p w14:paraId="25F69B07" w14:textId="56C71F03" w:rsidR="00436C9A" w:rsidRPr="00850C34" w:rsidRDefault="000C6A6D" w:rsidP="00436C9A">
          <w:r>
            <w:rPr>
              <w:sz w:val="20"/>
            </w:rPr>
            <w:t>01.04.2025.</w:t>
          </w:r>
        </w:p>
      </w:tc>
    </w:tr>
    <w:tr w:rsidR="00C654C1" w14:paraId="37EA821E" w14:textId="77777777" w:rsidTr="00326994">
      <w:trPr>
        <w:cantSplit/>
        <w:trHeight w:val="184"/>
      </w:trPr>
      <w:tc>
        <w:tcPr>
          <w:tcW w:w="2915" w:type="dxa"/>
          <w:vMerge/>
        </w:tcPr>
        <w:p w14:paraId="0097A217" w14:textId="77777777" w:rsidR="00C654C1" w:rsidRDefault="00C654C1" w:rsidP="00A875F0">
          <w:pPr>
            <w:spacing w:before="120" w:after="120"/>
            <w:rPr>
              <w:b/>
              <w:sz w:val="24"/>
            </w:rPr>
          </w:pPr>
        </w:p>
      </w:tc>
      <w:tc>
        <w:tcPr>
          <w:tcW w:w="3901" w:type="dxa"/>
          <w:vMerge/>
          <w:tcBorders>
            <w:right w:val="single" w:sz="2" w:space="0" w:color="auto"/>
          </w:tcBorders>
        </w:tcPr>
        <w:p w14:paraId="54320FB7" w14:textId="77777777" w:rsidR="00C654C1" w:rsidRPr="00692C25" w:rsidRDefault="00C654C1" w:rsidP="00A875F0">
          <w:pPr>
            <w:pStyle w:val="Heading3"/>
            <w:spacing w:after="120"/>
            <w:rPr>
              <w:rFonts w:cs="Arial"/>
            </w:rPr>
          </w:pPr>
        </w:p>
      </w:tc>
      <w:tc>
        <w:tcPr>
          <w:tcW w:w="2700" w:type="dxa"/>
          <w:gridSpan w:val="2"/>
          <w:tcBorders>
            <w:left w:val="single" w:sz="2" w:space="0" w:color="auto"/>
          </w:tcBorders>
        </w:tcPr>
        <w:p w14:paraId="1F91D023" w14:textId="481271C6" w:rsidR="00C654C1" w:rsidRPr="00850C34" w:rsidRDefault="00C654C1" w:rsidP="0016660B">
          <w:pPr>
            <w:pStyle w:val="Heading3"/>
            <w:numPr>
              <w:ilvl w:val="0"/>
              <w:numId w:val="0"/>
            </w:numPr>
            <w:spacing w:after="120"/>
            <w:ind w:left="720" w:hanging="720"/>
            <w:rPr>
              <w:rFonts w:cs="Arial"/>
              <w:sz w:val="20"/>
            </w:rPr>
          </w:pPr>
          <w:r w:rsidRPr="00850C34">
            <w:rPr>
              <w:rStyle w:val="PageNumber"/>
              <w:rFonts w:cs="Arial"/>
              <w:b w:val="0"/>
              <w:snapToGrid w:val="0"/>
              <w:sz w:val="20"/>
            </w:rPr>
            <w:t xml:space="preserve">Strana </w:t>
          </w:r>
          <w:r w:rsidRPr="00850C34">
            <w:rPr>
              <w:rStyle w:val="PageNumber"/>
              <w:rFonts w:cs="Arial"/>
              <w:b w:val="0"/>
              <w:snapToGrid w:val="0"/>
              <w:sz w:val="20"/>
            </w:rPr>
            <w:fldChar w:fldCharType="begin"/>
          </w:r>
          <w:r w:rsidRPr="00850C34">
            <w:rPr>
              <w:rStyle w:val="PageNumber"/>
              <w:rFonts w:cs="Arial"/>
              <w:b w:val="0"/>
              <w:snapToGrid w:val="0"/>
              <w:sz w:val="20"/>
            </w:rPr>
            <w:instrText xml:space="preserve"> PAGE </w:instrText>
          </w:r>
          <w:r w:rsidRPr="00850C34">
            <w:rPr>
              <w:rStyle w:val="PageNumber"/>
              <w:rFonts w:cs="Arial"/>
              <w:b w:val="0"/>
              <w:snapToGrid w:val="0"/>
              <w:sz w:val="20"/>
            </w:rPr>
            <w:fldChar w:fldCharType="separate"/>
          </w:r>
          <w:r w:rsidR="0087401B">
            <w:rPr>
              <w:rStyle w:val="PageNumber"/>
              <w:rFonts w:cs="Arial"/>
              <w:b w:val="0"/>
              <w:noProof/>
              <w:snapToGrid w:val="0"/>
              <w:sz w:val="20"/>
            </w:rPr>
            <w:t>3</w:t>
          </w:r>
          <w:r w:rsidRPr="00850C34">
            <w:rPr>
              <w:rStyle w:val="PageNumber"/>
              <w:rFonts w:cs="Arial"/>
              <w:b w:val="0"/>
              <w:snapToGrid w:val="0"/>
              <w:sz w:val="20"/>
            </w:rPr>
            <w:fldChar w:fldCharType="end"/>
          </w:r>
          <w:r w:rsidRPr="00850C34">
            <w:rPr>
              <w:rStyle w:val="PageNumber"/>
              <w:rFonts w:cs="Arial"/>
              <w:b w:val="0"/>
              <w:snapToGrid w:val="0"/>
              <w:sz w:val="20"/>
            </w:rPr>
            <w:t>/</w:t>
          </w:r>
          <w:r w:rsidR="00AD7948">
            <w:rPr>
              <w:rStyle w:val="PageNumber"/>
              <w:rFonts w:cs="Arial"/>
              <w:b w:val="0"/>
              <w:snapToGrid w:val="0"/>
              <w:sz w:val="20"/>
            </w:rPr>
            <w:t>5</w:t>
          </w:r>
        </w:p>
      </w:tc>
    </w:tr>
  </w:tbl>
  <w:p w14:paraId="3A8E839A" w14:textId="77777777" w:rsidR="00C654C1" w:rsidRDefault="00C654C1">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5D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E8B146E"/>
    <w:multiLevelType w:val="multilevel"/>
    <w:tmpl w:val="3050D3A6"/>
    <w:lvl w:ilvl="0">
      <w:start w:val="4"/>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FE645B"/>
    <w:multiLevelType w:val="singleLevel"/>
    <w:tmpl w:val="2A020F6C"/>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14C3577"/>
    <w:multiLevelType w:val="hybridMultilevel"/>
    <w:tmpl w:val="93B613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B410B1"/>
    <w:multiLevelType w:val="hybridMultilevel"/>
    <w:tmpl w:val="39725E22"/>
    <w:lvl w:ilvl="0" w:tplc="48788B7A">
      <w:start w:val="3"/>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EE71A7"/>
    <w:multiLevelType w:val="singleLevel"/>
    <w:tmpl w:val="2A020F6C"/>
    <w:lvl w:ilvl="0">
      <w:start w:val="4"/>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15D35B0"/>
    <w:multiLevelType w:val="multilevel"/>
    <w:tmpl w:val="6832B1F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7" w15:restartNumberingAfterBreak="0">
    <w:nsid w:val="222E6B5C"/>
    <w:multiLevelType w:val="multilevel"/>
    <w:tmpl w:val="6832B1F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8" w15:restartNumberingAfterBreak="0">
    <w:nsid w:val="22F7211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7A81804"/>
    <w:multiLevelType w:val="hybridMultilevel"/>
    <w:tmpl w:val="373C4570"/>
    <w:lvl w:ilvl="0" w:tplc="1C60027E">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FD6459"/>
    <w:multiLevelType w:val="multilevel"/>
    <w:tmpl w:val="6832B1F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1" w15:restartNumberingAfterBreak="0">
    <w:nsid w:val="2F5B7050"/>
    <w:multiLevelType w:val="hybridMultilevel"/>
    <w:tmpl w:val="0E52B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EC05DA"/>
    <w:multiLevelType w:val="singleLevel"/>
    <w:tmpl w:val="2A020F6C"/>
    <w:lvl w:ilvl="0">
      <w:start w:val="4"/>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C4C5D36"/>
    <w:multiLevelType w:val="multilevel"/>
    <w:tmpl w:val="E39A37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487DF5"/>
    <w:multiLevelType w:val="multilevel"/>
    <w:tmpl w:val="0E2E6A12"/>
    <w:lvl w:ilvl="0">
      <w:start w:val="10"/>
      <w:numFmt w:val="decimal"/>
      <w:lvlText w:val="%1.0"/>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5" w15:restartNumberingAfterBreak="0">
    <w:nsid w:val="44D018AF"/>
    <w:multiLevelType w:val="singleLevel"/>
    <w:tmpl w:val="2A020F6C"/>
    <w:lvl w:ilvl="0">
      <w:start w:val="4"/>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7001508"/>
    <w:multiLevelType w:val="multilevel"/>
    <w:tmpl w:val="425AD120"/>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649"/>
        </w:tabs>
        <w:ind w:left="649" w:hanging="720"/>
      </w:pPr>
      <w:rPr>
        <w:rFonts w:hint="default"/>
      </w:rPr>
    </w:lvl>
    <w:lvl w:ilvl="2">
      <w:start w:val="2"/>
      <w:numFmt w:val="decimal"/>
      <w:lvlText w:val="%1.%2.%3."/>
      <w:lvlJc w:val="left"/>
      <w:pPr>
        <w:tabs>
          <w:tab w:val="num" w:pos="578"/>
        </w:tabs>
        <w:ind w:left="578" w:hanging="720"/>
      </w:pPr>
      <w:rPr>
        <w:rFonts w:hint="default"/>
      </w:rPr>
    </w:lvl>
    <w:lvl w:ilvl="3">
      <w:start w:val="1"/>
      <w:numFmt w:val="decimal"/>
      <w:lvlText w:val="%1.%2.%3.%4."/>
      <w:lvlJc w:val="left"/>
      <w:pPr>
        <w:tabs>
          <w:tab w:val="num" w:pos="867"/>
        </w:tabs>
        <w:ind w:left="867" w:hanging="1080"/>
      </w:pPr>
      <w:rPr>
        <w:rFonts w:hint="default"/>
      </w:rPr>
    </w:lvl>
    <w:lvl w:ilvl="4">
      <w:start w:val="1"/>
      <w:numFmt w:val="decimal"/>
      <w:lvlText w:val="%1.%2.%3.%4.%5."/>
      <w:lvlJc w:val="left"/>
      <w:pPr>
        <w:tabs>
          <w:tab w:val="num" w:pos="796"/>
        </w:tabs>
        <w:ind w:left="796" w:hanging="1080"/>
      </w:pPr>
      <w:rPr>
        <w:rFonts w:hint="default"/>
      </w:rPr>
    </w:lvl>
    <w:lvl w:ilvl="5">
      <w:start w:val="1"/>
      <w:numFmt w:val="decimal"/>
      <w:lvlText w:val="%1.%2.%3.%4.%5.%6."/>
      <w:lvlJc w:val="left"/>
      <w:pPr>
        <w:tabs>
          <w:tab w:val="num" w:pos="1085"/>
        </w:tabs>
        <w:ind w:left="1085" w:hanging="1440"/>
      </w:pPr>
      <w:rPr>
        <w:rFonts w:hint="default"/>
      </w:rPr>
    </w:lvl>
    <w:lvl w:ilvl="6">
      <w:start w:val="1"/>
      <w:numFmt w:val="decimal"/>
      <w:lvlText w:val="%1.%2.%3.%4.%5.%6.%7."/>
      <w:lvlJc w:val="left"/>
      <w:pPr>
        <w:tabs>
          <w:tab w:val="num" w:pos="1014"/>
        </w:tabs>
        <w:ind w:left="1014" w:hanging="1440"/>
      </w:pPr>
      <w:rPr>
        <w:rFonts w:hint="default"/>
      </w:rPr>
    </w:lvl>
    <w:lvl w:ilvl="7">
      <w:start w:val="1"/>
      <w:numFmt w:val="decimal"/>
      <w:lvlText w:val="%1.%2.%3.%4.%5.%6.%7.%8."/>
      <w:lvlJc w:val="left"/>
      <w:pPr>
        <w:tabs>
          <w:tab w:val="num" w:pos="1303"/>
        </w:tabs>
        <w:ind w:left="1303" w:hanging="1800"/>
      </w:pPr>
      <w:rPr>
        <w:rFonts w:hint="default"/>
      </w:rPr>
    </w:lvl>
    <w:lvl w:ilvl="8">
      <w:start w:val="1"/>
      <w:numFmt w:val="decimal"/>
      <w:lvlText w:val="%1.%2.%3.%4.%5.%6.%7.%8.%9."/>
      <w:lvlJc w:val="left"/>
      <w:pPr>
        <w:tabs>
          <w:tab w:val="num" w:pos="1232"/>
        </w:tabs>
        <w:ind w:left="1232" w:hanging="1800"/>
      </w:pPr>
      <w:rPr>
        <w:rFonts w:hint="default"/>
      </w:rPr>
    </w:lvl>
  </w:abstractNum>
  <w:abstractNum w:abstractNumId="17" w15:restartNumberingAfterBreak="0">
    <w:nsid w:val="48EB2B69"/>
    <w:multiLevelType w:val="singleLevel"/>
    <w:tmpl w:val="04090017"/>
    <w:lvl w:ilvl="0">
      <w:start w:val="1"/>
      <w:numFmt w:val="lowerLetter"/>
      <w:lvlText w:val="%1)"/>
      <w:lvlJc w:val="left"/>
      <w:pPr>
        <w:tabs>
          <w:tab w:val="num" w:pos="360"/>
        </w:tabs>
        <w:ind w:left="360" w:hanging="360"/>
      </w:pPr>
      <w:rPr>
        <w:rFonts w:hint="default"/>
      </w:rPr>
    </w:lvl>
  </w:abstractNum>
  <w:abstractNum w:abstractNumId="18" w15:restartNumberingAfterBreak="0">
    <w:nsid w:val="4B6112EA"/>
    <w:multiLevelType w:val="singleLevel"/>
    <w:tmpl w:val="2A020F6C"/>
    <w:lvl w:ilvl="0">
      <w:start w:val="4"/>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C620F20"/>
    <w:multiLevelType w:val="multilevel"/>
    <w:tmpl w:val="F7D2E8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20" w15:restartNumberingAfterBreak="0">
    <w:nsid w:val="4E874995"/>
    <w:multiLevelType w:val="singleLevel"/>
    <w:tmpl w:val="2A020F6C"/>
    <w:lvl w:ilvl="0">
      <w:start w:val="4"/>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FAD72EE"/>
    <w:multiLevelType w:val="multilevel"/>
    <w:tmpl w:val="65886960"/>
    <w:lvl w:ilvl="0">
      <w:start w:val="1"/>
      <w:numFmt w:val="decimal"/>
      <w:lvlText w:val="%1."/>
      <w:lvlJc w:val="left"/>
      <w:pPr>
        <w:tabs>
          <w:tab w:val="num" w:pos="1800"/>
        </w:tabs>
        <w:ind w:left="1800" w:hanging="360"/>
      </w:pPr>
      <w:rPr>
        <w:rFonts w:hint="default"/>
      </w:rPr>
    </w:lvl>
    <w:lvl w:ilvl="1">
      <w:start w:val="3"/>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2" w15:restartNumberingAfterBreak="0">
    <w:nsid w:val="503432AF"/>
    <w:multiLevelType w:val="multilevel"/>
    <w:tmpl w:val="59B4D57C"/>
    <w:lvl w:ilvl="0">
      <w:start w:val="4"/>
      <w:numFmt w:val="decimal"/>
      <w:lvlText w:val="%1"/>
      <w:lvlJc w:val="left"/>
      <w:pPr>
        <w:tabs>
          <w:tab w:val="num" w:pos="630"/>
        </w:tabs>
        <w:ind w:left="630" w:hanging="63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55532A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1B0D18"/>
    <w:multiLevelType w:val="multilevel"/>
    <w:tmpl w:val="F7D2E8B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25" w15:restartNumberingAfterBreak="0">
    <w:nsid w:val="58B674D5"/>
    <w:multiLevelType w:val="multilevel"/>
    <w:tmpl w:val="DA44015E"/>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6" w15:restartNumberingAfterBreak="0">
    <w:nsid w:val="672D07FB"/>
    <w:multiLevelType w:val="singleLevel"/>
    <w:tmpl w:val="9C5CE8EC"/>
    <w:lvl w:ilvl="0">
      <w:numFmt w:val="bullet"/>
      <w:lvlText w:val="-"/>
      <w:lvlJc w:val="left"/>
      <w:pPr>
        <w:tabs>
          <w:tab w:val="num" w:pos="1740"/>
        </w:tabs>
        <w:ind w:left="1740" w:hanging="360"/>
      </w:pPr>
      <w:rPr>
        <w:rFonts w:ascii="Times New Roman" w:hAnsi="Times New Roman" w:hint="default"/>
      </w:rPr>
    </w:lvl>
  </w:abstractNum>
  <w:abstractNum w:abstractNumId="27" w15:restartNumberingAfterBreak="0">
    <w:nsid w:val="6C7765D7"/>
    <w:multiLevelType w:val="hybridMultilevel"/>
    <w:tmpl w:val="D5BAF456"/>
    <w:lvl w:ilvl="0" w:tplc="0C509F24">
      <w:start w:val="2"/>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905BB8"/>
    <w:multiLevelType w:val="multilevel"/>
    <w:tmpl w:val="68E810DE"/>
    <w:lvl w:ilvl="0">
      <w:start w:val="1"/>
      <w:numFmt w:val="decimal"/>
      <w:lvlText w:val="%1."/>
      <w:lvlJc w:val="left"/>
      <w:pPr>
        <w:tabs>
          <w:tab w:val="num" w:pos="2160"/>
        </w:tabs>
        <w:ind w:left="2160" w:hanging="720"/>
      </w:pPr>
      <w:rPr>
        <w:rFonts w:hint="default"/>
      </w:rPr>
    </w:lvl>
    <w:lvl w:ilvl="1">
      <w:start w:val="1"/>
      <w:numFmt w:val="decimal"/>
      <w:isLgl/>
      <w:lvlText w:val="%1.%2."/>
      <w:lvlJc w:val="left"/>
      <w:pPr>
        <w:tabs>
          <w:tab w:val="num" w:pos="2160"/>
        </w:tabs>
        <w:ind w:left="2160" w:hanging="720"/>
      </w:pPr>
      <w:rPr>
        <w:rFonts w:hint="default"/>
        <w:sz w:val="20"/>
        <w:szCs w:val="2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9" w15:restartNumberingAfterBreak="0">
    <w:nsid w:val="6F6A0465"/>
    <w:multiLevelType w:val="singleLevel"/>
    <w:tmpl w:val="04090017"/>
    <w:lvl w:ilvl="0">
      <w:start w:val="1"/>
      <w:numFmt w:val="lowerLetter"/>
      <w:lvlText w:val="%1)"/>
      <w:lvlJc w:val="left"/>
      <w:pPr>
        <w:tabs>
          <w:tab w:val="num" w:pos="360"/>
        </w:tabs>
        <w:ind w:left="360" w:hanging="360"/>
      </w:pPr>
      <w:rPr>
        <w:rFonts w:hint="default"/>
        <w:i/>
      </w:rPr>
    </w:lvl>
  </w:abstractNum>
  <w:abstractNum w:abstractNumId="30" w15:restartNumberingAfterBreak="0">
    <w:nsid w:val="741F096A"/>
    <w:multiLevelType w:val="hybridMultilevel"/>
    <w:tmpl w:val="D11EE7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3028CB"/>
    <w:multiLevelType w:val="hybridMultilevel"/>
    <w:tmpl w:val="9436701A"/>
    <w:lvl w:ilvl="0" w:tplc="F9F25C8A">
      <w:start w:val="1"/>
      <w:numFmt w:val="bullet"/>
      <w:lvlText w:val="-"/>
      <w:lvlJc w:val="left"/>
      <w:pPr>
        <w:ind w:left="432" w:hanging="360"/>
      </w:pPr>
      <w:rPr>
        <w:rFonts w:ascii="Times New Roman" w:eastAsia="Times New Roman" w:hAnsi="Times New Roman" w:cs="Times New Roman" w:hint="default"/>
      </w:rPr>
    </w:lvl>
    <w:lvl w:ilvl="1" w:tplc="041A0003">
      <w:start w:val="1"/>
      <w:numFmt w:val="bullet"/>
      <w:lvlText w:val="o"/>
      <w:lvlJc w:val="left"/>
      <w:pPr>
        <w:ind w:left="1152" w:hanging="360"/>
      </w:pPr>
      <w:rPr>
        <w:rFonts w:ascii="Courier New" w:hAnsi="Courier New" w:cs="Courier New" w:hint="default"/>
      </w:rPr>
    </w:lvl>
    <w:lvl w:ilvl="2" w:tplc="041A0005">
      <w:start w:val="1"/>
      <w:numFmt w:val="bullet"/>
      <w:lvlText w:val=""/>
      <w:lvlJc w:val="left"/>
      <w:pPr>
        <w:ind w:left="1872" w:hanging="360"/>
      </w:pPr>
      <w:rPr>
        <w:rFonts w:ascii="Wingdings" w:hAnsi="Wingdings" w:hint="default"/>
      </w:rPr>
    </w:lvl>
    <w:lvl w:ilvl="3" w:tplc="041A0001">
      <w:start w:val="1"/>
      <w:numFmt w:val="bullet"/>
      <w:lvlText w:val=""/>
      <w:lvlJc w:val="left"/>
      <w:pPr>
        <w:ind w:left="2592" w:hanging="360"/>
      </w:pPr>
      <w:rPr>
        <w:rFonts w:ascii="Symbol" w:hAnsi="Symbol" w:hint="default"/>
      </w:rPr>
    </w:lvl>
    <w:lvl w:ilvl="4" w:tplc="041A0003">
      <w:start w:val="1"/>
      <w:numFmt w:val="bullet"/>
      <w:lvlText w:val="o"/>
      <w:lvlJc w:val="left"/>
      <w:pPr>
        <w:ind w:left="3312" w:hanging="360"/>
      </w:pPr>
      <w:rPr>
        <w:rFonts w:ascii="Courier New" w:hAnsi="Courier New" w:cs="Courier New" w:hint="default"/>
      </w:rPr>
    </w:lvl>
    <w:lvl w:ilvl="5" w:tplc="041A0005">
      <w:start w:val="1"/>
      <w:numFmt w:val="bullet"/>
      <w:lvlText w:val=""/>
      <w:lvlJc w:val="left"/>
      <w:pPr>
        <w:ind w:left="4032" w:hanging="360"/>
      </w:pPr>
      <w:rPr>
        <w:rFonts w:ascii="Wingdings" w:hAnsi="Wingdings" w:hint="default"/>
      </w:rPr>
    </w:lvl>
    <w:lvl w:ilvl="6" w:tplc="041A0001">
      <w:start w:val="1"/>
      <w:numFmt w:val="bullet"/>
      <w:lvlText w:val=""/>
      <w:lvlJc w:val="left"/>
      <w:pPr>
        <w:ind w:left="4752" w:hanging="360"/>
      </w:pPr>
      <w:rPr>
        <w:rFonts w:ascii="Symbol" w:hAnsi="Symbol" w:hint="default"/>
      </w:rPr>
    </w:lvl>
    <w:lvl w:ilvl="7" w:tplc="041A0003">
      <w:start w:val="1"/>
      <w:numFmt w:val="bullet"/>
      <w:lvlText w:val="o"/>
      <w:lvlJc w:val="left"/>
      <w:pPr>
        <w:ind w:left="5472" w:hanging="360"/>
      </w:pPr>
      <w:rPr>
        <w:rFonts w:ascii="Courier New" w:hAnsi="Courier New" w:cs="Courier New" w:hint="default"/>
      </w:rPr>
    </w:lvl>
    <w:lvl w:ilvl="8" w:tplc="041A0005">
      <w:start w:val="1"/>
      <w:numFmt w:val="bullet"/>
      <w:lvlText w:val=""/>
      <w:lvlJc w:val="left"/>
      <w:pPr>
        <w:ind w:left="6192" w:hanging="360"/>
      </w:pPr>
      <w:rPr>
        <w:rFonts w:ascii="Wingdings" w:hAnsi="Wingdings" w:hint="default"/>
      </w:rPr>
    </w:lvl>
  </w:abstractNum>
  <w:abstractNum w:abstractNumId="32" w15:restartNumberingAfterBreak="0">
    <w:nsid w:val="74BE5CDB"/>
    <w:multiLevelType w:val="hybridMultilevel"/>
    <w:tmpl w:val="EF123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5080D7A"/>
    <w:multiLevelType w:val="singleLevel"/>
    <w:tmpl w:val="ED0EDFF4"/>
    <w:lvl w:ilvl="0">
      <w:numFmt w:val="bullet"/>
      <w:lvlText w:val="-"/>
      <w:lvlJc w:val="left"/>
      <w:pPr>
        <w:tabs>
          <w:tab w:val="num" w:pos="360"/>
        </w:tabs>
        <w:ind w:left="360" w:hanging="360"/>
      </w:pPr>
      <w:rPr>
        <w:rFonts w:hint="default"/>
      </w:rPr>
    </w:lvl>
  </w:abstractNum>
  <w:abstractNum w:abstractNumId="34" w15:restartNumberingAfterBreak="0">
    <w:nsid w:val="76950B40"/>
    <w:multiLevelType w:val="hybridMultilevel"/>
    <w:tmpl w:val="A8B21D6E"/>
    <w:lvl w:ilvl="0" w:tplc="AFCA6EC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B611662"/>
    <w:multiLevelType w:val="hybridMultilevel"/>
    <w:tmpl w:val="C178B9A0"/>
    <w:lvl w:ilvl="0" w:tplc="D9063902">
      <w:start w:val="3"/>
      <w:numFmt w:val="decimal"/>
      <w:lvlText w:val="%1."/>
      <w:lvlJc w:val="left"/>
      <w:pPr>
        <w:tabs>
          <w:tab w:val="num" w:pos="720"/>
        </w:tabs>
        <w:ind w:left="720" w:hanging="360"/>
      </w:pPr>
      <w:rPr>
        <w:rFonts w:hint="default"/>
      </w:rPr>
    </w:lvl>
    <w:lvl w:ilvl="1" w:tplc="8820A884">
      <w:numFmt w:val="none"/>
      <w:lvlText w:val=""/>
      <w:lvlJc w:val="left"/>
      <w:pPr>
        <w:tabs>
          <w:tab w:val="num" w:pos="360"/>
        </w:tabs>
      </w:pPr>
    </w:lvl>
    <w:lvl w:ilvl="2" w:tplc="4CACB182">
      <w:numFmt w:val="none"/>
      <w:lvlText w:val=""/>
      <w:lvlJc w:val="left"/>
      <w:pPr>
        <w:tabs>
          <w:tab w:val="num" w:pos="360"/>
        </w:tabs>
      </w:pPr>
    </w:lvl>
    <w:lvl w:ilvl="3" w:tplc="4D621AE0">
      <w:numFmt w:val="none"/>
      <w:lvlText w:val=""/>
      <w:lvlJc w:val="left"/>
      <w:pPr>
        <w:tabs>
          <w:tab w:val="num" w:pos="360"/>
        </w:tabs>
      </w:pPr>
    </w:lvl>
    <w:lvl w:ilvl="4" w:tplc="7F7C3E78">
      <w:numFmt w:val="none"/>
      <w:lvlText w:val=""/>
      <w:lvlJc w:val="left"/>
      <w:pPr>
        <w:tabs>
          <w:tab w:val="num" w:pos="360"/>
        </w:tabs>
      </w:pPr>
    </w:lvl>
    <w:lvl w:ilvl="5" w:tplc="FDA66F20">
      <w:numFmt w:val="none"/>
      <w:lvlText w:val=""/>
      <w:lvlJc w:val="left"/>
      <w:pPr>
        <w:tabs>
          <w:tab w:val="num" w:pos="360"/>
        </w:tabs>
      </w:pPr>
    </w:lvl>
    <w:lvl w:ilvl="6" w:tplc="A4527116">
      <w:numFmt w:val="none"/>
      <w:lvlText w:val=""/>
      <w:lvlJc w:val="left"/>
      <w:pPr>
        <w:tabs>
          <w:tab w:val="num" w:pos="360"/>
        </w:tabs>
      </w:pPr>
    </w:lvl>
    <w:lvl w:ilvl="7" w:tplc="E1A4D210">
      <w:numFmt w:val="none"/>
      <w:lvlText w:val=""/>
      <w:lvlJc w:val="left"/>
      <w:pPr>
        <w:tabs>
          <w:tab w:val="num" w:pos="360"/>
        </w:tabs>
      </w:pPr>
    </w:lvl>
    <w:lvl w:ilvl="8" w:tplc="700A9F68">
      <w:numFmt w:val="none"/>
      <w:lvlText w:val=""/>
      <w:lvlJc w:val="left"/>
      <w:pPr>
        <w:tabs>
          <w:tab w:val="num" w:pos="360"/>
        </w:tabs>
      </w:pPr>
    </w:lvl>
  </w:abstractNum>
  <w:abstractNum w:abstractNumId="36" w15:restartNumberingAfterBreak="0">
    <w:nsid w:val="7FB94046"/>
    <w:multiLevelType w:val="singleLevel"/>
    <w:tmpl w:val="E1308C08"/>
    <w:lvl w:ilvl="0">
      <w:start w:val="3"/>
      <w:numFmt w:val="bullet"/>
      <w:lvlText w:val="-"/>
      <w:lvlJc w:val="left"/>
      <w:pPr>
        <w:tabs>
          <w:tab w:val="num" w:pos="1755"/>
        </w:tabs>
        <w:ind w:left="1755" w:hanging="360"/>
      </w:pPr>
      <w:rPr>
        <w:rFonts w:ascii="Times New Roman" w:hAnsi="Times New Roman" w:hint="default"/>
      </w:rPr>
    </w:lvl>
  </w:abstractNum>
  <w:num w:numId="1" w16cid:durableId="1027637231">
    <w:abstractNumId w:val="28"/>
  </w:num>
  <w:num w:numId="2" w16cid:durableId="1568108353">
    <w:abstractNumId w:val="6"/>
  </w:num>
  <w:num w:numId="3" w16cid:durableId="479462072">
    <w:abstractNumId w:val="23"/>
  </w:num>
  <w:num w:numId="4" w16cid:durableId="1208567177">
    <w:abstractNumId w:val="20"/>
  </w:num>
  <w:num w:numId="5" w16cid:durableId="2135828468">
    <w:abstractNumId w:val="1"/>
  </w:num>
  <w:num w:numId="6" w16cid:durableId="1220096481">
    <w:abstractNumId w:val="18"/>
  </w:num>
  <w:num w:numId="7" w16cid:durableId="265381992">
    <w:abstractNumId w:val="15"/>
  </w:num>
  <w:num w:numId="8" w16cid:durableId="2107267548">
    <w:abstractNumId w:val="2"/>
  </w:num>
  <w:num w:numId="9" w16cid:durableId="298456009">
    <w:abstractNumId w:val="12"/>
  </w:num>
  <w:num w:numId="10" w16cid:durableId="2099669819">
    <w:abstractNumId w:val="5"/>
  </w:num>
  <w:num w:numId="11" w16cid:durableId="2146460545">
    <w:abstractNumId w:val="14"/>
  </w:num>
  <w:num w:numId="12" w16cid:durableId="1773816003">
    <w:abstractNumId w:val="22"/>
  </w:num>
  <w:num w:numId="13" w16cid:durableId="451478128">
    <w:abstractNumId w:val="25"/>
  </w:num>
  <w:num w:numId="14" w16cid:durableId="1624536909">
    <w:abstractNumId w:val="33"/>
  </w:num>
  <w:num w:numId="15" w16cid:durableId="1595161919">
    <w:abstractNumId w:val="19"/>
  </w:num>
  <w:num w:numId="16" w16cid:durableId="943920080">
    <w:abstractNumId w:val="0"/>
  </w:num>
  <w:num w:numId="17" w16cid:durableId="179203262">
    <w:abstractNumId w:val="24"/>
  </w:num>
  <w:num w:numId="18" w16cid:durableId="1641686412">
    <w:abstractNumId w:val="21"/>
  </w:num>
  <w:num w:numId="19" w16cid:durableId="930089725">
    <w:abstractNumId w:val="8"/>
  </w:num>
  <w:num w:numId="20" w16cid:durableId="747531875">
    <w:abstractNumId w:val="7"/>
  </w:num>
  <w:num w:numId="21" w16cid:durableId="107092253">
    <w:abstractNumId w:val="10"/>
  </w:num>
  <w:num w:numId="22" w16cid:durableId="537398309">
    <w:abstractNumId w:val="13"/>
  </w:num>
  <w:num w:numId="23" w16cid:durableId="762840205">
    <w:abstractNumId w:val="35"/>
  </w:num>
  <w:num w:numId="24" w16cid:durableId="1151362389">
    <w:abstractNumId w:val="16"/>
  </w:num>
  <w:num w:numId="25" w16cid:durableId="700517371">
    <w:abstractNumId w:val="26"/>
  </w:num>
  <w:num w:numId="26" w16cid:durableId="1169517191">
    <w:abstractNumId w:val="17"/>
  </w:num>
  <w:num w:numId="27" w16cid:durableId="1217937121">
    <w:abstractNumId w:val="29"/>
  </w:num>
  <w:num w:numId="28" w16cid:durableId="1334333932">
    <w:abstractNumId w:val="36"/>
  </w:num>
  <w:num w:numId="29" w16cid:durableId="2036466118">
    <w:abstractNumId w:val="4"/>
  </w:num>
  <w:num w:numId="30" w16cid:durableId="176113804">
    <w:abstractNumId w:val="27"/>
  </w:num>
  <w:num w:numId="31" w16cid:durableId="2071074917">
    <w:abstractNumId w:val="9"/>
  </w:num>
  <w:num w:numId="32" w16cid:durableId="1003241799">
    <w:abstractNumId w:val="11"/>
  </w:num>
  <w:num w:numId="33" w16cid:durableId="1801343202">
    <w:abstractNumId w:val="32"/>
  </w:num>
  <w:num w:numId="34" w16cid:durableId="1688214327">
    <w:abstractNumId w:val="34"/>
  </w:num>
  <w:num w:numId="35" w16cid:durableId="2015956178">
    <w:abstractNumId w:val="30"/>
  </w:num>
  <w:num w:numId="36" w16cid:durableId="1007445674">
    <w:abstractNumId w:val="3"/>
  </w:num>
  <w:num w:numId="37" w16cid:durableId="5653848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9269017">
    <w:abstractNumId w:val="30"/>
  </w:num>
  <w:num w:numId="39" w16cid:durableId="3377340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1F5"/>
    <w:rsid w:val="0002157E"/>
    <w:rsid w:val="00030A36"/>
    <w:rsid w:val="00041418"/>
    <w:rsid w:val="00050ABA"/>
    <w:rsid w:val="000515EC"/>
    <w:rsid w:val="00060A10"/>
    <w:rsid w:val="000720B1"/>
    <w:rsid w:val="00076427"/>
    <w:rsid w:val="00077B68"/>
    <w:rsid w:val="00082BD2"/>
    <w:rsid w:val="000A2854"/>
    <w:rsid w:val="000B69F7"/>
    <w:rsid w:val="000B7CC5"/>
    <w:rsid w:val="000C507F"/>
    <w:rsid w:val="000C6A6D"/>
    <w:rsid w:val="000C7622"/>
    <w:rsid w:val="000E70F5"/>
    <w:rsid w:val="000F0E97"/>
    <w:rsid w:val="000F1C8A"/>
    <w:rsid w:val="000F4CD8"/>
    <w:rsid w:val="001042A8"/>
    <w:rsid w:val="00113489"/>
    <w:rsid w:val="00123604"/>
    <w:rsid w:val="0016660B"/>
    <w:rsid w:val="001702B7"/>
    <w:rsid w:val="00171355"/>
    <w:rsid w:val="00171C3A"/>
    <w:rsid w:val="00180EF4"/>
    <w:rsid w:val="001819A0"/>
    <w:rsid w:val="001820AD"/>
    <w:rsid w:val="00186DD9"/>
    <w:rsid w:val="00192070"/>
    <w:rsid w:val="00197163"/>
    <w:rsid w:val="001A5775"/>
    <w:rsid w:val="001B3D91"/>
    <w:rsid w:val="001C3417"/>
    <w:rsid w:val="001D3E6C"/>
    <w:rsid w:val="001D77BB"/>
    <w:rsid w:val="001E0663"/>
    <w:rsid w:val="001E0AC5"/>
    <w:rsid w:val="00211E7D"/>
    <w:rsid w:val="0022484C"/>
    <w:rsid w:val="0022629D"/>
    <w:rsid w:val="00241E98"/>
    <w:rsid w:val="002476CC"/>
    <w:rsid w:val="0025333E"/>
    <w:rsid w:val="00255246"/>
    <w:rsid w:val="00255B22"/>
    <w:rsid w:val="00272A4C"/>
    <w:rsid w:val="0027680A"/>
    <w:rsid w:val="00277EFA"/>
    <w:rsid w:val="00285928"/>
    <w:rsid w:val="00287D2A"/>
    <w:rsid w:val="00291D47"/>
    <w:rsid w:val="002A1683"/>
    <w:rsid w:val="002A22EB"/>
    <w:rsid w:val="002A6B23"/>
    <w:rsid w:val="002B12FF"/>
    <w:rsid w:val="002B1DFF"/>
    <w:rsid w:val="002B405D"/>
    <w:rsid w:val="002B55C0"/>
    <w:rsid w:val="002C68CF"/>
    <w:rsid w:val="002D0C74"/>
    <w:rsid w:val="002E0615"/>
    <w:rsid w:val="002E1994"/>
    <w:rsid w:val="002E60EF"/>
    <w:rsid w:val="002E753F"/>
    <w:rsid w:val="002F5FF7"/>
    <w:rsid w:val="002F675B"/>
    <w:rsid w:val="00300923"/>
    <w:rsid w:val="00305744"/>
    <w:rsid w:val="00320F59"/>
    <w:rsid w:val="00322713"/>
    <w:rsid w:val="00326994"/>
    <w:rsid w:val="00326F4B"/>
    <w:rsid w:val="00330EC4"/>
    <w:rsid w:val="003400AE"/>
    <w:rsid w:val="003641BA"/>
    <w:rsid w:val="003676BB"/>
    <w:rsid w:val="00371DE2"/>
    <w:rsid w:val="003808A4"/>
    <w:rsid w:val="003A0620"/>
    <w:rsid w:val="003B5BE9"/>
    <w:rsid w:val="003B7062"/>
    <w:rsid w:val="003C0941"/>
    <w:rsid w:val="003E5579"/>
    <w:rsid w:val="003F1EA8"/>
    <w:rsid w:val="003F423F"/>
    <w:rsid w:val="003F5922"/>
    <w:rsid w:val="00405CCA"/>
    <w:rsid w:val="00417E59"/>
    <w:rsid w:val="0042273A"/>
    <w:rsid w:val="00436643"/>
    <w:rsid w:val="00436C9A"/>
    <w:rsid w:val="00442062"/>
    <w:rsid w:val="004508F3"/>
    <w:rsid w:val="004542F7"/>
    <w:rsid w:val="004671A1"/>
    <w:rsid w:val="0047037D"/>
    <w:rsid w:val="00476577"/>
    <w:rsid w:val="0048150B"/>
    <w:rsid w:val="00484904"/>
    <w:rsid w:val="00495D59"/>
    <w:rsid w:val="004970E5"/>
    <w:rsid w:val="004A1FE1"/>
    <w:rsid w:val="004A2F91"/>
    <w:rsid w:val="004C0BD0"/>
    <w:rsid w:val="004C1EFA"/>
    <w:rsid w:val="004C27A5"/>
    <w:rsid w:val="004E2FAD"/>
    <w:rsid w:val="005103E9"/>
    <w:rsid w:val="005104CF"/>
    <w:rsid w:val="0051215E"/>
    <w:rsid w:val="00524116"/>
    <w:rsid w:val="00533C35"/>
    <w:rsid w:val="00534E08"/>
    <w:rsid w:val="00535256"/>
    <w:rsid w:val="0054551F"/>
    <w:rsid w:val="00556EBB"/>
    <w:rsid w:val="00557DAA"/>
    <w:rsid w:val="005646DB"/>
    <w:rsid w:val="0057226F"/>
    <w:rsid w:val="0058009F"/>
    <w:rsid w:val="00583357"/>
    <w:rsid w:val="0059338E"/>
    <w:rsid w:val="00595A28"/>
    <w:rsid w:val="005972FB"/>
    <w:rsid w:val="005A0031"/>
    <w:rsid w:val="005A27B1"/>
    <w:rsid w:val="005A3661"/>
    <w:rsid w:val="005A5BA3"/>
    <w:rsid w:val="005C51FC"/>
    <w:rsid w:val="005D5460"/>
    <w:rsid w:val="005E1D66"/>
    <w:rsid w:val="005E71DE"/>
    <w:rsid w:val="00600DD3"/>
    <w:rsid w:val="00601707"/>
    <w:rsid w:val="00603B54"/>
    <w:rsid w:val="00616F51"/>
    <w:rsid w:val="00620BFA"/>
    <w:rsid w:val="00622F9F"/>
    <w:rsid w:val="00626BB6"/>
    <w:rsid w:val="006362C5"/>
    <w:rsid w:val="006402A9"/>
    <w:rsid w:val="006544E3"/>
    <w:rsid w:val="0066318B"/>
    <w:rsid w:val="006717CA"/>
    <w:rsid w:val="00673B8C"/>
    <w:rsid w:val="00676F7A"/>
    <w:rsid w:val="0067705F"/>
    <w:rsid w:val="00686989"/>
    <w:rsid w:val="006940D6"/>
    <w:rsid w:val="00696A5C"/>
    <w:rsid w:val="006A18A6"/>
    <w:rsid w:val="006C7FF7"/>
    <w:rsid w:val="006D385F"/>
    <w:rsid w:val="006F4581"/>
    <w:rsid w:val="00701E40"/>
    <w:rsid w:val="007023DC"/>
    <w:rsid w:val="00704C64"/>
    <w:rsid w:val="00716AAC"/>
    <w:rsid w:val="0073436C"/>
    <w:rsid w:val="007412D6"/>
    <w:rsid w:val="0074169A"/>
    <w:rsid w:val="00743D16"/>
    <w:rsid w:val="00760299"/>
    <w:rsid w:val="0076493E"/>
    <w:rsid w:val="0077542E"/>
    <w:rsid w:val="007767EA"/>
    <w:rsid w:val="007851AB"/>
    <w:rsid w:val="00795B6D"/>
    <w:rsid w:val="007A0076"/>
    <w:rsid w:val="007B3E76"/>
    <w:rsid w:val="007C6E9E"/>
    <w:rsid w:val="007D1A48"/>
    <w:rsid w:val="007D1ACB"/>
    <w:rsid w:val="007D671A"/>
    <w:rsid w:val="007E4DAA"/>
    <w:rsid w:val="007F1232"/>
    <w:rsid w:val="007F641B"/>
    <w:rsid w:val="007F6D48"/>
    <w:rsid w:val="00803FBA"/>
    <w:rsid w:val="00817F77"/>
    <w:rsid w:val="008251DD"/>
    <w:rsid w:val="00825DE2"/>
    <w:rsid w:val="00830F74"/>
    <w:rsid w:val="00832E4D"/>
    <w:rsid w:val="00834F11"/>
    <w:rsid w:val="00836B65"/>
    <w:rsid w:val="00842DED"/>
    <w:rsid w:val="00850C34"/>
    <w:rsid w:val="0086114D"/>
    <w:rsid w:val="00864B6B"/>
    <w:rsid w:val="0087401B"/>
    <w:rsid w:val="00875EBA"/>
    <w:rsid w:val="00893608"/>
    <w:rsid w:val="00896834"/>
    <w:rsid w:val="008A2C22"/>
    <w:rsid w:val="008B1A7F"/>
    <w:rsid w:val="008B5B4F"/>
    <w:rsid w:val="008C126C"/>
    <w:rsid w:val="008C71C9"/>
    <w:rsid w:val="008C7BED"/>
    <w:rsid w:val="008D284D"/>
    <w:rsid w:val="008E43E7"/>
    <w:rsid w:val="008E7566"/>
    <w:rsid w:val="008F1B63"/>
    <w:rsid w:val="00916BAA"/>
    <w:rsid w:val="0092080E"/>
    <w:rsid w:val="00921526"/>
    <w:rsid w:val="00940E61"/>
    <w:rsid w:val="00944CF2"/>
    <w:rsid w:val="009513C7"/>
    <w:rsid w:val="0095182F"/>
    <w:rsid w:val="0095380E"/>
    <w:rsid w:val="009538BF"/>
    <w:rsid w:val="00961704"/>
    <w:rsid w:val="0096355E"/>
    <w:rsid w:val="00992A19"/>
    <w:rsid w:val="00997D69"/>
    <w:rsid w:val="009A3A6C"/>
    <w:rsid w:val="009B6419"/>
    <w:rsid w:val="009C723F"/>
    <w:rsid w:val="009D06C2"/>
    <w:rsid w:val="00A008B8"/>
    <w:rsid w:val="00A07EDD"/>
    <w:rsid w:val="00A13957"/>
    <w:rsid w:val="00A20342"/>
    <w:rsid w:val="00A25440"/>
    <w:rsid w:val="00A270BA"/>
    <w:rsid w:val="00A40CF0"/>
    <w:rsid w:val="00A419F9"/>
    <w:rsid w:val="00A64430"/>
    <w:rsid w:val="00A6784A"/>
    <w:rsid w:val="00A73D7C"/>
    <w:rsid w:val="00A769BF"/>
    <w:rsid w:val="00A875F0"/>
    <w:rsid w:val="00A96A47"/>
    <w:rsid w:val="00AA730A"/>
    <w:rsid w:val="00AC7C75"/>
    <w:rsid w:val="00AD0F23"/>
    <w:rsid w:val="00AD309C"/>
    <w:rsid w:val="00AD6E58"/>
    <w:rsid w:val="00AD7948"/>
    <w:rsid w:val="00AE1DDB"/>
    <w:rsid w:val="00AF1505"/>
    <w:rsid w:val="00AF3004"/>
    <w:rsid w:val="00B04BB0"/>
    <w:rsid w:val="00B04DCF"/>
    <w:rsid w:val="00B07FBE"/>
    <w:rsid w:val="00B11346"/>
    <w:rsid w:val="00B37560"/>
    <w:rsid w:val="00B73F9A"/>
    <w:rsid w:val="00B74B4D"/>
    <w:rsid w:val="00B761B8"/>
    <w:rsid w:val="00B82163"/>
    <w:rsid w:val="00B969D1"/>
    <w:rsid w:val="00B96EE9"/>
    <w:rsid w:val="00B976E1"/>
    <w:rsid w:val="00BA34D4"/>
    <w:rsid w:val="00BC29F5"/>
    <w:rsid w:val="00BC440C"/>
    <w:rsid w:val="00BD160E"/>
    <w:rsid w:val="00BD5EDF"/>
    <w:rsid w:val="00BF4E13"/>
    <w:rsid w:val="00BF7346"/>
    <w:rsid w:val="00C009EA"/>
    <w:rsid w:val="00C50B8A"/>
    <w:rsid w:val="00C622C9"/>
    <w:rsid w:val="00C64FDF"/>
    <w:rsid w:val="00C654C1"/>
    <w:rsid w:val="00C77ED8"/>
    <w:rsid w:val="00C83E11"/>
    <w:rsid w:val="00C845AD"/>
    <w:rsid w:val="00C902EC"/>
    <w:rsid w:val="00C92DB3"/>
    <w:rsid w:val="00C97A5E"/>
    <w:rsid w:val="00CC02FD"/>
    <w:rsid w:val="00CC23BC"/>
    <w:rsid w:val="00CC6C59"/>
    <w:rsid w:val="00CD5CD3"/>
    <w:rsid w:val="00CF7305"/>
    <w:rsid w:val="00D022BF"/>
    <w:rsid w:val="00D03CB3"/>
    <w:rsid w:val="00D0796E"/>
    <w:rsid w:val="00D142B7"/>
    <w:rsid w:val="00D161F5"/>
    <w:rsid w:val="00D324C1"/>
    <w:rsid w:val="00D410C3"/>
    <w:rsid w:val="00D43538"/>
    <w:rsid w:val="00D463A2"/>
    <w:rsid w:val="00D520D7"/>
    <w:rsid w:val="00D52C36"/>
    <w:rsid w:val="00D56643"/>
    <w:rsid w:val="00D566C7"/>
    <w:rsid w:val="00D61087"/>
    <w:rsid w:val="00D63CE6"/>
    <w:rsid w:val="00D70BB0"/>
    <w:rsid w:val="00D74FC6"/>
    <w:rsid w:val="00D816C7"/>
    <w:rsid w:val="00D818DA"/>
    <w:rsid w:val="00D81983"/>
    <w:rsid w:val="00D82FDB"/>
    <w:rsid w:val="00D83BAC"/>
    <w:rsid w:val="00D87C2B"/>
    <w:rsid w:val="00D92049"/>
    <w:rsid w:val="00D9289C"/>
    <w:rsid w:val="00D95DA6"/>
    <w:rsid w:val="00DA0256"/>
    <w:rsid w:val="00DA3D4F"/>
    <w:rsid w:val="00DB0A8A"/>
    <w:rsid w:val="00DC4D45"/>
    <w:rsid w:val="00DE1A43"/>
    <w:rsid w:val="00DE4701"/>
    <w:rsid w:val="00DE51CD"/>
    <w:rsid w:val="00DF4FF1"/>
    <w:rsid w:val="00DF7C60"/>
    <w:rsid w:val="00E12C4F"/>
    <w:rsid w:val="00E16BFA"/>
    <w:rsid w:val="00E17D9C"/>
    <w:rsid w:val="00E4443C"/>
    <w:rsid w:val="00E44A84"/>
    <w:rsid w:val="00E4631F"/>
    <w:rsid w:val="00E65E50"/>
    <w:rsid w:val="00E70319"/>
    <w:rsid w:val="00E70DEC"/>
    <w:rsid w:val="00E86363"/>
    <w:rsid w:val="00E91DDE"/>
    <w:rsid w:val="00E92BAF"/>
    <w:rsid w:val="00EA34FF"/>
    <w:rsid w:val="00EB3F6C"/>
    <w:rsid w:val="00EB4102"/>
    <w:rsid w:val="00EB7ACA"/>
    <w:rsid w:val="00EC77F2"/>
    <w:rsid w:val="00ED1419"/>
    <w:rsid w:val="00ED35A9"/>
    <w:rsid w:val="00ED5947"/>
    <w:rsid w:val="00EE1079"/>
    <w:rsid w:val="00EE16C4"/>
    <w:rsid w:val="00EF0529"/>
    <w:rsid w:val="00F047FE"/>
    <w:rsid w:val="00F2144E"/>
    <w:rsid w:val="00F21A09"/>
    <w:rsid w:val="00F22257"/>
    <w:rsid w:val="00F412D0"/>
    <w:rsid w:val="00F41378"/>
    <w:rsid w:val="00F47C98"/>
    <w:rsid w:val="00F541DD"/>
    <w:rsid w:val="00F54CC5"/>
    <w:rsid w:val="00F60D13"/>
    <w:rsid w:val="00F6211D"/>
    <w:rsid w:val="00F6445B"/>
    <w:rsid w:val="00F6599C"/>
    <w:rsid w:val="00F71BD0"/>
    <w:rsid w:val="00F74B37"/>
    <w:rsid w:val="00F75B3F"/>
    <w:rsid w:val="00F8589E"/>
    <w:rsid w:val="00F91F2A"/>
    <w:rsid w:val="00F93727"/>
    <w:rsid w:val="00FA7DF8"/>
    <w:rsid w:val="00FB3C78"/>
    <w:rsid w:val="00FB5A0C"/>
    <w:rsid w:val="00FB742A"/>
    <w:rsid w:val="00FC3DB7"/>
    <w:rsid w:val="00FC4623"/>
    <w:rsid w:val="00FC7CED"/>
    <w:rsid w:val="00FD1C9D"/>
    <w:rsid w:val="00FD5094"/>
    <w:rsid w:val="00FD79A6"/>
    <w:rsid w:val="00FE0099"/>
    <w:rsid w:val="00FE35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1CEE0"/>
  <w15:chartTrackingRefBased/>
  <w15:docId w15:val="{3DDC3CCA-AAFC-493D-BEDE-2A0D7886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363"/>
    <w:rPr>
      <w:rFonts w:ascii="Arial" w:hAnsi="Arial"/>
      <w:sz w:val="22"/>
      <w:lang w:eastAsia="en-US"/>
    </w:rPr>
  </w:style>
  <w:style w:type="paragraph" w:styleId="Heading1">
    <w:name w:val="heading 1"/>
    <w:basedOn w:val="Normal"/>
    <w:next w:val="Normal"/>
    <w:qFormat/>
    <w:pPr>
      <w:keepNext/>
      <w:outlineLvl w:val="0"/>
    </w:pPr>
    <w:rPr>
      <w:i/>
      <w:sz w:val="20"/>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numPr>
        <w:numId w:val="5"/>
      </w:numPr>
      <w:jc w:val="both"/>
      <w:outlineLvl w:val="2"/>
    </w:pPr>
    <w:rPr>
      <w:b/>
    </w:rPr>
  </w:style>
  <w:style w:type="paragraph" w:styleId="Heading4">
    <w:name w:val="heading 4"/>
    <w:basedOn w:val="Normal"/>
    <w:next w:val="Normal"/>
    <w:qFormat/>
    <w:pPr>
      <w:keepNext/>
      <w:jc w:val="both"/>
      <w:outlineLvl w:val="3"/>
    </w:pPr>
    <w:rPr>
      <w:color w:val="FF0000"/>
      <w:sz w:val="32"/>
    </w:rPr>
  </w:style>
  <w:style w:type="paragraph" w:styleId="Heading5">
    <w:name w:val="heading 5"/>
    <w:basedOn w:val="Normal"/>
    <w:next w:val="Normal"/>
    <w:qFormat/>
    <w:pPr>
      <w:keepNext/>
      <w:jc w:val="center"/>
      <w:outlineLvl w:val="4"/>
    </w:pPr>
    <w:rPr>
      <w:i/>
      <w:sz w:val="18"/>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center"/>
      <w:outlineLvl w:val="7"/>
    </w:pPr>
    <w:rPr>
      <w:i/>
    </w:rPr>
  </w:style>
  <w:style w:type="paragraph" w:styleId="Heading9">
    <w:name w:val="heading 9"/>
    <w:basedOn w:val="Normal"/>
    <w:next w:val="Normal"/>
    <w:qFormat/>
    <w:pPr>
      <w:keepNext/>
      <w:jc w:val="both"/>
      <w:outlineLvl w:val="8"/>
    </w:pPr>
    <w:rPr>
      <w:b/>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
    <w:name w:val="Body Text"/>
    <w:basedOn w:val="Normal"/>
    <w:rPr>
      <w:sz w:val="20"/>
    </w:rPr>
  </w:style>
  <w:style w:type="paragraph" w:styleId="BodyText2">
    <w:name w:val="Body Text 2"/>
    <w:basedOn w:val="Normal"/>
    <w:pPr>
      <w:jc w:val="center"/>
    </w:pPr>
    <w:rPr>
      <w:sz w:val="20"/>
    </w:rPr>
  </w:style>
  <w:style w:type="paragraph" w:styleId="BodyText3">
    <w:name w:val="Body Text 3"/>
    <w:basedOn w:val="Normal"/>
    <w:pPr>
      <w:jc w:val="center"/>
    </w:pPr>
  </w:style>
  <w:style w:type="table" w:styleId="TableGrid">
    <w:name w:val="Table Grid"/>
    <w:basedOn w:val="TableNormal"/>
    <w:rsid w:val="002E7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aliases w:val="  uvlaka 2"/>
    <w:basedOn w:val="Normal"/>
    <w:pPr>
      <w:spacing w:after="120" w:line="480" w:lineRule="auto"/>
      <w:ind w:left="283"/>
    </w:pPr>
  </w:style>
  <w:style w:type="paragraph" w:customStyle="1" w:styleId="Tekstbalonia1">
    <w:name w:val="Tekst balončića1"/>
    <w:basedOn w:val="Normal"/>
    <w:semiHidden/>
    <w:rPr>
      <w:rFonts w:ascii="Tahoma" w:hAnsi="Tahoma" w:cs="Tahoma"/>
      <w:sz w:val="16"/>
      <w:szCs w:val="16"/>
    </w:rPr>
  </w:style>
  <w:style w:type="paragraph" w:styleId="BodyTextIndent">
    <w:name w:val="Body Text Indent"/>
    <w:basedOn w:val="Normal"/>
    <w:pPr>
      <w:spacing w:after="120"/>
      <w:ind w:left="283"/>
    </w:pPr>
  </w:style>
  <w:style w:type="character" w:styleId="CommentReference">
    <w:name w:val="annotation reference"/>
    <w:rsid w:val="00760299"/>
    <w:rPr>
      <w:sz w:val="16"/>
      <w:szCs w:val="16"/>
    </w:rPr>
  </w:style>
  <w:style w:type="paragraph" w:styleId="CommentText">
    <w:name w:val="annotation text"/>
    <w:basedOn w:val="Normal"/>
    <w:link w:val="CommentTextChar"/>
    <w:rsid w:val="00760299"/>
    <w:rPr>
      <w:sz w:val="20"/>
    </w:rPr>
  </w:style>
  <w:style w:type="character" w:customStyle="1" w:styleId="CommentTextChar">
    <w:name w:val="Comment Text Char"/>
    <w:link w:val="CommentText"/>
    <w:rsid w:val="00760299"/>
    <w:rPr>
      <w:rFonts w:ascii="Arial" w:hAnsi="Arial"/>
      <w:lang w:eastAsia="en-US"/>
    </w:rPr>
  </w:style>
  <w:style w:type="paragraph" w:styleId="CommentSubject">
    <w:name w:val="annotation subject"/>
    <w:basedOn w:val="CommentText"/>
    <w:next w:val="CommentText"/>
    <w:link w:val="CommentSubjectChar"/>
    <w:rsid w:val="00760299"/>
    <w:rPr>
      <w:b/>
      <w:bCs/>
    </w:rPr>
  </w:style>
  <w:style w:type="character" w:customStyle="1" w:styleId="CommentSubjectChar">
    <w:name w:val="Comment Subject Char"/>
    <w:link w:val="CommentSubject"/>
    <w:rsid w:val="00760299"/>
    <w:rPr>
      <w:rFonts w:ascii="Arial" w:hAnsi="Arial"/>
      <w:b/>
      <w:bCs/>
      <w:lang w:eastAsia="en-US"/>
    </w:rPr>
  </w:style>
  <w:style w:type="paragraph" w:styleId="BalloonText">
    <w:name w:val="Balloon Text"/>
    <w:basedOn w:val="Normal"/>
    <w:link w:val="BalloonTextChar"/>
    <w:rsid w:val="00760299"/>
    <w:rPr>
      <w:rFonts w:ascii="Segoe UI" w:hAnsi="Segoe UI" w:cs="Segoe UI"/>
      <w:sz w:val="18"/>
      <w:szCs w:val="18"/>
    </w:rPr>
  </w:style>
  <w:style w:type="character" w:customStyle="1" w:styleId="BalloonTextChar">
    <w:name w:val="Balloon Text Char"/>
    <w:link w:val="BalloonText"/>
    <w:rsid w:val="00760299"/>
    <w:rPr>
      <w:rFonts w:ascii="Segoe UI" w:hAnsi="Segoe UI" w:cs="Segoe UI"/>
      <w:sz w:val="18"/>
      <w:szCs w:val="18"/>
      <w:lang w:eastAsia="en-US"/>
    </w:rPr>
  </w:style>
  <w:style w:type="paragraph" w:styleId="ListParagraph">
    <w:name w:val="List Paragraph"/>
    <w:basedOn w:val="Normal"/>
    <w:uiPriority w:val="34"/>
    <w:qFormat/>
    <w:rsid w:val="00BD160E"/>
    <w:pPr>
      <w:autoSpaceDE w:val="0"/>
      <w:autoSpaceDN w:val="0"/>
      <w:ind w:left="720"/>
      <w:contextualSpacing/>
    </w:pPr>
    <w:rPr>
      <w:rFonts w:ascii="Times New Roman" w:hAnsi="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65369">
      <w:bodyDiv w:val="1"/>
      <w:marLeft w:val="0"/>
      <w:marRight w:val="0"/>
      <w:marTop w:val="0"/>
      <w:marBottom w:val="0"/>
      <w:divBdr>
        <w:top w:val="none" w:sz="0" w:space="0" w:color="auto"/>
        <w:left w:val="none" w:sz="0" w:space="0" w:color="auto"/>
        <w:bottom w:val="none" w:sz="0" w:space="0" w:color="auto"/>
        <w:right w:val="none" w:sz="0" w:space="0" w:color="auto"/>
      </w:divBdr>
    </w:div>
    <w:div w:id="511533303">
      <w:bodyDiv w:val="1"/>
      <w:marLeft w:val="0"/>
      <w:marRight w:val="0"/>
      <w:marTop w:val="0"/>
      <w:marBottom w:val="0"/>
      <w:divBdr>
        <w:top w:val="none" w:sz="0" w:space="0" w:color="auto"/>
        <w:left w:val="none" w:sz="0" w:space="0" w:color="auto"/>
        <w:bottom w:val="none" w:sz="0" w:space="0" w:color="auto"/>
        <w:right w:val="none" w:sz="0" w:space="0" w:color="auto"/>
      </w:divBdr>
    </w:div>
    <w:div w:id="769929222">
      <w:bodyDiv w:val="1"/>
      <w:marLeft w:val="0"/>
      <w:marRight w:val="0"/>
      <w:marTop w:val="0"/>
      <w:marBottom w:val="0"/>
      <w:divBdr>
        <w:top w:val="none" w:sz="0" w:space="0" w:color="auto"/>
        <w:left w:val="none" w:sz="0" w:space="0" w:color="auto"/>
        <w:bottom w:val="none" w:sz="0" w:space="0" w:color="auto"/>
        <w:right w:val="none" w:sz="0" w:space="0" w:color="auto"/>
      </w:divBdr>
    </w:div>
    <w:div w:id="793671252">
      <w:bodyDiv w:val="1"/>
      <w:marLeft w:val="0"/>
      <w:marRight w:val="0"/>
      <w:marTop w:val="0"/>
      <w:marBottom w:val="0"/>
      <w:divBdr>
        <w:top w:val="none" w:sz="0" w:space="0" w:color="auto"/>
        <w:left w:val="none" w:sz="0" w:space="0" w:color="auto"/>
        <w:bottom w:val="none" w:sz="0" w:space="0" w:color="auto"/>
        <w:right w:val="none" w:sz="0" w:space="0" w:color="auto"/>
      </w:divBdr>
    </w:div>
    <w:div w:id="14164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0934C-A024-4C07-ADF4-539F9C53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2014</Words>
  <Characters>11484</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 A D R Ž A J</vt:lpstr>
      <vt:lpstr>S A D R Ž A J</vt:lpstr>
    </vt:vector>
  </TitlesOfParts>
  <Company>Bjelovar</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ANAM</dc:creator>
  <cp:keywords/>
  <cp:lastModifiedBy>Nevenka Vatavuk</cp:lastModifiedBy>
  <cp:revision>8</cp:revision>
  <cp:lastPrinted>2007-08-30T09:35:00Z</cp:lastPrinted>
  <dcterms:created xsi:type="dcterms:W3CDTF">2025-03-29T10:12:00Z</dcterms:created>
  <dcterms:modified xsi:type="dcterms:W3CDTF">2025-04-04T10:10:00Z</dcterms:modified>
</cp:coreProperties>
</file>